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幸福99丰裕固收（稳利低波颐养款）385天26009期理财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幸福99丰裕固收（稳利低波颐养款）385天26009期理财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FYG26009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Z7002226000065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2026年2月25日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2027年3月17日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40,390,782.23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142.35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40,390,782.23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40,092,783.00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1.0074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8,372,619.26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10,815,681.91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3,234,443.60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丰裕固收26009期E款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16,716,386.14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丰裕固收26009期G款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FYG26009G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1,040,038.76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丰裕固收26009期H款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FYG26009H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20,143.98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丰裕固收26009期J款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FYG26009J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151,181.09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丰裕固收26009期W款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FYG26009W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40,287.49</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2.25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丰裕固收26009期E款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丰裕固收26009期G款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1.99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丰裕固收26009期H款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丰裕固收26009期J款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2.31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丰裕固收26009期W款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2.10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0.66</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75.07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24.27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杭工信-玖盈195号-桐庐科创信托贷款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6,982,581.38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交银国信-融诚丰盈H-0006号-莫干山高新信托贷款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6,974,090.30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24沛县国资PPN004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3,974,177.95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24苏通MTN002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3,962,634.27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24西安高新MTN002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3,573,099.90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25广经开</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3,094,196.01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24青莱04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3,076,542.53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24沛县城投PPN002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3,060,171.90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24澄创01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3,052,724.18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24莫控02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3,048,700.40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7.55</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17,005,432.57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42.10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桐庐科技创新产业发展投资有限公司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杭工信-玖盈195号-桐庐科创信托贷款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6,982,581.38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湖州莫干山高新集团有限公司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交银国信-融诚丰盈H-0006号-莫干山高新信托贷款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6,974,090.30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40,092,783.00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40,092,783.00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杭银理财幸福99丰裕固收（稳利低波颐养款）385天26009期理财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3301040160015309811-5126009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