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幸福99丰裕固收763天25235期理财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幸福99丰裕固收763天25235期理财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FYG25235</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Z7002225000472</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2026年1月8日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2028年2月10日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2.50-2.70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753,452,082.31</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101.47</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753,452,082.31</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743,013,626.00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1.0140</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1.0140</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丰裕固收25235期A款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FYG25235A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111,086,102.42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丰裕固收25235期B款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FYG25235B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110,182,738.38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丰裕固收25235期C款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FYG25235C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45,969,238.23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丰裕固收25235期D款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FYG25235D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9,896,747.27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丰裕固收25235期E款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FYG25235E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104,423,227.83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丰裕固收25235期F款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FYG25235F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43,029,550.77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丰裕固收25235期H款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FYG25235H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70,147,139.58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丰裕固收25235期M款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FYG25235M</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91,959,161.74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丰裕固收25235期N款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FYG25235N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4,883,214.07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丰裕固收25235期P款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FYG25235P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8,875,352.43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丰裕固收25235期Q款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FYG25235Q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4,657,665.33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丰裕固收25235期R款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FYG25235R</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15,186,849.21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丰裕固收25235期W款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FYG25235W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84,633,242.24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丰裕固收25235期Y款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FYG25235Y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22,291,533.43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丰裕固收25235期Z款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FYG25235Z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26,230,319.38</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丰裕固收25235期A款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丰裕固收25235期B款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丰裕固收25235期C款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丰裕固收25235期D款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丰裕固收25235期E款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丰裕固收25235期F款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丰裕固收25235期H款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丰裕固收25235期M款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丰裕固收25235期N款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丰裕固收25235期P款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丰裕固收25235期Q款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丰裕固收25235期R款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丰裕固收25235期W款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丰裕固收25235期Y款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丰裕固收25235期Z款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3.04</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上半年以来受信用利差小幅压缩及收益率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大概率延续“适度宽松”的基调。下半年海内外宏观经济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加大， 三季度利率债供给高峰叠加滞后发行补发，净发行量高于去年同期。三季度债市大概率处于多空拉锯的震荡格局，利率债在供给冲击与配置需求之间寻求平衡，信用债则以票息收入为主、波段操作为辅。整体而言，信用债保持一定仓位，适时把握利率债等交易性资产的阶段性交易机会。</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0.18</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0.22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21.47</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49.60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42.43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78.35</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外贸信托-承澜15-1号-新昌投发信托贷款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195,901,682.02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26.00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外贸信托-承澜19-1号-路桥国发信托贷款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90,004,468.75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11.95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25南湖国控PPN001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71,452,417.53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9.48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国元信托-安鼎10096号-柯岩建设信托贷款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65,014,852.65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8.63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26玄武高新PPN001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40,891,810.96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5.43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26泰交通PPN001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30,614,873.42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24太湖湾MTN004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21,206,174.52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25工行二级资本债03BC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3,378,935.16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0.45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25汕投01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3,366,415.98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0.45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25银河F4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3,035,193.06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0.40</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7,000,316.44</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0.93</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台州市路桥国有资产发展集团有限公司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外贸信托-承澜19-1号-路桥国发信托贷款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2028-01-21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90,004,468.75</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每季度付息，不规则还本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浙江省新昌县投资发展集团有限公司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外贸信托-承澜15-1号-新昌投发信托贷款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2028-01-04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195,901,682.02</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每季度付息，不规则还本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绍兴柯岩建设投资有限公司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国元信托-安鼎10096号-柯岩建设信托贷款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2028-01-21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65,014,852.65</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743,013,626.00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743,013,626.00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杭银理财幸福99丰裕固收763天25235期理财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3301040160015309811-5125235</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