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幸福99丰裕固收763天25232期理财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幸福99丰裕固收763天25232期理财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FYG25232</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Z7002225000464</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2025年12月30日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2028年2月1日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2.65-2.85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449,911,054.89</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104.72</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449,911,054.89</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443,148,822.00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1.0153</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1.0153</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丰裕固收25232期A款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106,458,242.78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丰裕固收25232期B款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81,230,411.63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丰裕固收25232期C款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18,640,298.35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丰裕固收25232期D款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7,971,782.50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丰裕固收25232期E款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FYG25232E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73,276,379.78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丰裕固收25232期F款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FYG25232F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44,555,628.14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丰裕固收25232期H款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FYG25232H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18,297,739.25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丰裕固收25232期I款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FYG25232I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202,959.72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丰裕固收25232期M款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FYG25232M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26,758,491.38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丰裕固收25232期P款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FYG25232P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4,199,059.16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丰裕固收25232期Q款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FYG25232Q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927,319.55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丰裕固收25232期R款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FYG25232R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9,024,506.56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丰裕固收25232期S款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FYG25232S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467,138.87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丰裕固收25232期W款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FYG25232W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41,691,137.00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丰裕固收25232期Y款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FYG25232Y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7,777,121.60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丰裕固收25232期Z款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FYG25232Z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8,432,838.62</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丰裕固收25232期A款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丰裕固收25232期B款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丰裕固收25232期C款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丰裕固收25232期D款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丰裕固收25232期E款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丰裕固收25232期F款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丰裕固收25232期H款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丰裕固收25232期I款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丰裕固收25232期M款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丰裕固收25232期P款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丰裕固收25232期Q款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丰裕固收25232期R款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丰裕固收25232期S款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丰裕固收25232期W款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丰裕固收25232期Y款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丰裕固收25232期Z款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3.17</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0.46</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17.38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39.24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42.01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73.67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外贸信托-承澜15-1号-新昌投发信托贷款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78,960,371.82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17.55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交银国信-安盈固收T0083号-袍江控股信托贷款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75,526,729.00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16.79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交银国信-安盈固收T0080号-金开国投信托贷款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51,773,876.60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11.51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质押式逆回购(038857)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40,001,801.23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26车谷城发PPN001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30,599,287.40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26宁海交通PPN001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30,561,738.49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24漳州城投PPN001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20,709,781.64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25邗江01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6,535,835.32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25立讯精工SCP004(科创债)</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5,293,783.63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质押式逆回购(204001-001697)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5,231,658.76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1.16</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19,000,858.90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4.22</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浙江省新昌县投资发展集团有限公司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外贸信托-承澜15-1号-新昌投发信托贷款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2028-01-04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78,960,371.82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绍兴袍江控股集团有限公司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交银国信-安盈固收T0083号-袍江控股信托贷款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2028-01-06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75,526,729.00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金华金开国有资本投资有限公司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交银国信-安盈固收T0080号-金开国投信托贷款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2028-01-07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51,773,876.60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443,148,822.00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443,148,822.00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杭银理财幸福99丰裕固收763天25232期理财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3301040160015309811-5125232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