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sz w:val="36"/>
          <w:szCs w:val="36"/>
        </w:rPr>
        <w:t xml:space="preserve">“</w:t>
      </w:r>
      <w:r>
        <w:rPr>
          <w:rFonts w:ascii="楷体" w:eastAsia="楷体" w:hAnsi="楷体" w:cs="楷体" w:hint="eastAsia"/>
          <w:b/>
          <w:bCs/>
          <w:spacing w:val="-1"/>
          <w:sz w:val="36"/>
          <w:szCs w:val="36"/>
        </w:rPr>
        <w:t xml:space="preserve">苏银理财恒源封闭债权157期</w:t>
      </w:r>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2025年年度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苏银理财恒源封闭债权157期</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2025年05月08日</w:t>
      </w:r>
      <w:r>
        <w:rPr>
          <w:rFonts w:ascii="楷体" w:eastAsia="楷体" w:hAnsi="楷体" w:cs="楷体" w:hint="eastAsia"/>
        </w:rPr>
        <w:t xml:space="preserve">成立，于</w:t>
      </w:r>
      <w:r>
        <w:rPr>
          <w:rFonts w:ascii="楷体" w:eastAsia="楷体" w:hAnsi="楷体" w:cs="楷体" w:hint="eastAsia"/>
          <w:spacing w:val="-7"/>
        </w:rPr>
        <w:t xml:space="preserve">2025年05月08日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0" w:name="_Toc535504139"/>
      <w:r>
        <w:rPr>
          <w:rFonts w:ascii="楷体" w:eastAsia="楷体" w:hAnsi="楷体" w:cs="楷体" w:hint="eastAsia"/>
        </w:rPr>
        <w:t xml:space="preserve">、产品基本情况</w:t>
      </w:r>
      <w:bookmarkEnd w:id="0"/>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苏银理财恒源封闭债权157期</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Z7003125000071</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封闭式净值型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615,984,897.00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627,753,020.25</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31000188000680888</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628,595,891.32</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100.13%</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2025-12-31</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苏银理财恒源封闭债权157期13月A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1.018916</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1.018916</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2.70%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苏银理财恒源封闭债权157期13月AJS鑫福款</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1.018588</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1.018588</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苏银理财恒源封闭债权157期13月B</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1.018588</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1.018588</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苏银理财恒源封闭债权157期13月C</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1.019245</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1.019245</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苏银理财恒源封闭债权157期13月D</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1.018921</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1.018921</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苏银理财恒源封闭债权157期13月E</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1.019573</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1.019573</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2.80%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苏银理财恒源封闭债权157期13月H</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1.018916</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1.018916</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苏银理财恒源封闭债权157期13月I</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1.017274</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1.017274</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2.45%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苏银理财恒源封闭债权157期13月J</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1.018588</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1.018588</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2.65%</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78"/>
        <w:gridCol w:w="2643"/>
        <w:gridCol w:w="2652"/>
      </w:tblGrid>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78"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3"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5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78"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p>
        </w:tc>
        <w:tc>
          <w:tcPr>
            <w:tcW w:w="2643"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3.97%</w:t>
            </w:r>
          </w:p>
        </w:tc>
        <w:tc>
          <w:tcPr>
            <w:tcW w:w="265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90.26%</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278"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权益类</w:t>
            </w:r>
          </w:p>
        </w:tc>
        <w:tc>
          <w:tcPr>
            <w:tcW w:w="264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5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4.92%</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278"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商品及金融衍生品类</w:t>
            </w:r>
          </w:p>
        </w:tc>
        <w:tc>
          <w:tcPr>
            <w:tcW w:w="264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5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278"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混合类</w:t>
            </w:r>
          </w:p>
        </w:tc>
        <w:tc>
          <w:tcPr>
            <w:tcW w:w="264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5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0.85%</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05"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3"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3.97%</w:t>
            </w:r>
          </w:p>
        </w:tc>
        <w:tc>
          <w:tcPr>
            <w:tcW w:w="265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96.03%</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华鑫信托-嘉盈和颜98号-蚂蚁花呗-第五期</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非标准化债权类资产</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111,984,822.88</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17.45%</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42,266,979.92</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6.58%</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4,248,439.10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0.66%</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25淮宏01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3,907,070.55</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0.61%</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5</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25淮经03</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3,828,024.04</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0.60%</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6</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25苏通01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3,793,195.04</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0.59%</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G25徐铁1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3,780,467.01</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0.59%</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8</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25连金01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3,488,673.74</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0.54%</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9</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25江国Y3</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权益类投资</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3,466,103.50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0.54%</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10</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25东阳01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3,448,814.20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0.54%</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蚂蚁个人消费授信付款资产借款人</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华鑫信托-嘉盈和颜98号-蚂蚁花呗-第五期</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147</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110,000,000.00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循环期不还本不付息，摊还期按月过手摊还本息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投资信托计划产品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蚂蚁个人消费授信付款资产借款人</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ZZGL202504091186</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江苏信托安源2号集合资金信托计划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199,940,018.00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200,000,000.00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ZZGL202504091188</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江苏信托安源4号集合资金信托计划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6,264,064.00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6,260,000.00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ZZGL202504091190</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江苏信托安源6号集合资金信托计划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5,976,530.00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6,000,000.00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ZZGL202504091189</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江苏信托安源5号集合资金信托计划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17,972,043.00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22,199,000.00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NETA20201230000002</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江苏信托鼎泰1号集合资金信托计划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97,608,603.00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120,000,000.00</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77,321.46</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309,687.69</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注：本报告中理财产品托管费、代销费、直销费均基于产品实际支付金额进行统计。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2025-12-31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615,984,897.00</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2025-09-30</w:t>
            </w:r>
          </w:p>
        </w:tc>
        <w:tc>
          <w:tcPr>
            <w:tcW w:w="4507"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615,984,897.00</w:t>
            </w:r>
          </w:p>
        </w:tc>
      </w:tr>
    </w:tbl>
    <w:p>
      <w:pPr>
        <w:pStyle w:val="标题4"/>
        <w:rPr>
          <w:rFonts w:ascii="楷体" w:eastAsia="楷体" w:hAnsi="楷体" w:cs="楷体" w:hint="eastAsia"/>
        </w:rPr>
      </w:pPr>
    </w:p>
    <w:p>
      <w:pPr>
        <w:pStyle w:val="Heading3"/>
        <w:rPr>
          <w:rFonts w:ascii="楷体" w:eastAsia="楷体" w:hAnsi="楷体" w:cs="楷体" w:hint="eastAsia"/>
          <w:spacing w:val="0"/>
        </w:rPr>
      </w:pPr>
      <w:r>
        <w:rPr>
          <w:rFonts w:ascii="楷体" w:eastAsia="楷体" w:hAnsi="楷体" w:cs="楷体" w:hint="eastAsia"/>
          <w:spacing w:val="0"/>
        </w:rPr>
        <w:t xml:space="preserve">四</w:t>
      </w:r>
      <w:r>
        <w:rPr>
          <w:rFonts w:ascii="楷体" w:hAnsi="楷体" w:cs="楷体" w:hint="eastAsia"/>
          <w:spacing w:val="0"/>
          <w:lang w:eastAsia="zh-CN"/>
        </w:rPr>
        <w:t xml:space="preserve">、</w:t>
      </w:r>
      <w:r>
        <w:rPr>
          <w:rFonts w:ascii="楷体" w:eastAsia="楷体" w:hAnsi="楷体" w:cs="楷体" w:hint="eastAsia"/>
          <w:spacing w:val="0"/>
        </w:rPr>
        <w:t xml:space="preserve">投资运作情况</w:t>
      </w: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1、运作期回顾</w:t>
      </w:r>
    </w:p>
    <w:p>
      <w:pPr>
        <w:pStyle w:val="BodyText"/>
        <w:spacing w:before="0" w:line="240" w:lineRule="auto"/>
        <w:ind w:left="0" w:right="0" w:firstLine="0" w:firstLineChars="0"/>
        <w:rPr>
          <w:rFonts w:ascii="楷体" w:eastAsia="楷体" w:hAnsi="楷体" w:cs="楷体" w:hint="eastAsia"/>
          <w:spacing w:val="0"/>
          <w:sz w:val="21"/>
          <w:szCs w:val="21"/>
        </w:rPr>
      </w:pPr>
      <w:r>
        <w:rPr>
          <w:rFonts w:ascii="楷体" w:eastAsia="楷体" w:hAnsi="楷体" w:cs="楷体" w:hint="eastAsia"/>
          <w:spacing w:val="0"/>
          <w:sz w:val="21"/>
          <w:szCs w:val="21"/>
        </w:rPr>
        <w:t xml:space="preserve">    本理财产品以固收类资产和非标资产为主，主要配置优质非标与中高等级债券，通过对宏观经济、市场利率、债券市场需求供给的变化、信用风险等进行充分研判，主动构建并调整债券资产投资组合，力争获取超额收益。</w:t>
      </w:r>
    </w:p>
    <w:p>
      <w:pPr>
        <w:pStyle w:val="BodyText"/>
        <w:spacing w:before="0" w:line="240" w:lineRule="auto"/>
        <w:ind w:left="0" w:right="0" w:firstLine="0" w:firstLineChars="0"/>
        <w:rPr>
          <w:rFonts w:ascii="楷体" w:eastAsia="楷体" w:hAnsi="楷体" w:cs="楷体" w:hint="eastAsia"/>
          <w:spacing w:val="0"/>
          <w:sz w:val="21"/>
          <w:szCs w:val="21"/>
        </w:rPr>
      </w:pP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2、后市展望及下阶段投资策略</w:t>
      </w:r>
    </w:p>
    <w:p>
      <w:pPr>
        <w:pStyle w:val="BodyText"/>
        <w:spacing w:before="0" w:line="240" w:lineRule="auto"/>
        <w:ind w:left="0" w:right="0" w:firstLine="0" w:firstLineChars="0"/>
        <w:jc w:val="left"/>
        <w:rPr>
          <w:rFonts w:ascii="楷体" w:eastAsia="楷体" w:hAnsi="楷体" w:cs="楷体" w:hint="eastAsia"/>
          <w:spacing w:val="0"/>
          <w:sz w:val="21"/>
          <w:szCs w:val="21"/>
        </w:rPr>
      </w:pPr>
      <w:r>
        <w:rPr>
          <w:rFonts w:ascii="楷体" w:eastAsia="楷体" w:hAnsi="楷体" w:cs="楷体" w:hint="eastAsia"/>
          <w:spacing w:val="0"/>
          <w:sz w:val="21"/>
          <w:szCs w:val="21"/>
        </w:rPr>
        <w:t xml:space="preserve">    总体看，债市结构性机会好于去年。基本面偏弱的局面并未扭转，货币政策基调延续适度宽松，维持流动性充裕，叠加货币政策向价格型转型过程中，资金面稳定性或有所增强。资金面宽松充裕预期下，票息策略占优，中短端收益确定性较强。能源价格中枢上行的担忧下，中长端利率或延续震荡格局，可能保持“高波动+下有底、上有顶”特征，总体赔率空间好于去年，可寻找曲线凸点择机配置，并注重把握交易性机会。同时，仍需要密切关注与跟踪海外的不确定性以及全球的地缘政治风险，尤其是流动性的边际变化。</w:t>
      </w:r>
      <w:r>
        <w:rPr>
          <w:rFonts w:ascii="楷体" w:eastAsia="楷体" w:hAnsi="楷体" w:cs="楷体" w:hint="eastAsia"/>
          <w:spacing w:val="0"/>
          <w:sz w:val="21"/>
          <w:szCs w:val="21"/>
        </w:rPr>
        <w:br/>
      </w:r>
      <w:r>
        <w:rPr>
          <w:rFonts w:ascii="楷体" w:eastAsia="楷体" w:hAnsi="楷体" w:cs="楷体" w:hint="eastAsia"/>
          <w:spacing w:val="0"/>
          <w:sz w:val="21"/>
          <w:szCs w:val="21"/>
        </w:rPr>
        <w:t xml:space="preserve">    未来将根据市场变化，控制组合久期处于合理稳健区间。资产配置上兼顾安全性、流动性和收益性，坚守风险合规底线，紧密跟踪市场变化，强化投资研究分析，致力于为广大投资者创造长期稳健的投资回报。信用风险方面，我司定期排查持仓债券，目前持仓债券信用情况良好。</w:t>
      </w:r>
    </w:p>
    <w:p>
      <w:pPr>
        <w:ind w:firstLine="0" w:firstLineChars="0"/>
        <w:rPr>
          <w:rFonts w:ascii="楷体" w:eastAsia="楷体" w:hAnsi="楷体" w:cs="楷体" w:hint="eastAsia"/>
          <w:bCs/>
          <w:spacing w:val="0"/>
          <w:kern w:val="0"/>
          <w:sz w:val="21"/>
          <w:szCs w:val="21"/>
        </w:rPr>
      </w:pP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3、流动性风险分析</w:t>
      </w:r>
    </w:p>
    <w:p>
      <w:pPr>
        <w:pStyle w:val="BodyText"/>
        <w:spacing w:before="0" w:line="240" w:lineRule="auto"/>
        <w:ind w:left="0" w:right="0" w:firstLine="0" w:firstLineChars="0"/>
        <w:rPr>
          <w:rFonts w:ascii="楷体" w:eastAsia="楷体" w:hAnsi="楷体" w:cs="楷体" w:hint="eastAsia"/>
          <w:spacing w:val="0"/>
          <w:sz w:val="21"/>
          <w:szCs w:val="21"/>
        </w:rPr>
      </w:pPr>
      <w:r>
        <w:rPr>
          <w:rFonts w:ascii="楷体" w:eastAsia="楷体" w:hAnsi="楷体" w:cs="楷体" w:hint="eastAsia"/>
          <w:spacing w:val="0"/>
          <w:sz w:val="21"/>
          <w:szCs w:val="21"/>
        </w:rPr>
        <w:t xml:space="preserve">    本产品持仓优质非标资产与中高等级债券，抗市场波动能力较强，通过组合久期管理、流动性指标监测等多项措施持续加强久期与流动性管理，有效控制产品的流动性风险。</w:t>
      </w:r>
    </w:p>
    <w:p>
      <w:pPr>
        <w:pStyle w:val="BodyText"/>
        <w:spacing w:before="0" w:line="240" w:lineRule="auto"/>
        <w:ind w:left="0" w:right="0" w:firstLine="0" w:firstLineChars="0"/>
        <w:rPr>
          <w:rFonts w:ascii="楷体" w:eastAsia="楷体" w:hAnsi="楷体" w:cs="楷体" w:hint="eastAsia"/>
          <w:spacing w:val="9"/>
          <w:sz w:val="21"/>
        </w:rPr>
      </w:pPr>
    </w:p>
    <w:p>
      <w:pPr>
        <w:pStyle w:val="Heading3"/>
        <w:rPr>
          <w:rFonts w:ascii="楷体" w:hAnsi="楷体"/>
          <w:sz w:val="24"/>
          <w:szCs w:val="24"/>
        </w:rPr>
      </w:pPr>
      <w:r>
        <w:rPr>
          <w:rFonts w:ascii="楷体" w:hAnsi="楷体" w:hint="eastAsia"/>
          <w:sz w:val="24"/>
          <w:szCs w:val="24"/>
        </w:rPr>
        <w:t xml:space="preserve">五</w:t>
      </w:r>
      <w:r>
        <w:rPr>
          <w:rFonts w:ascii="楷体" w:hAnsi="楷体" w:hint="eastAsia"/>
          <w:sz w:val="24"/>
          <w:szCs w:val="24"/>
          <w:lang w:eastAsia="zh-CN"/>
        </w:rPr>
        <w:t xml:space="preserve">、</w:t>
      </w:r>
      <w:r>
        <w:rPr>
          <w:rFonts w:ascii="楷体" w:hAnsi="楷体" w:hint="eastAsia"/>
          <w:sz w:val="24"/>
          <w:szCs w:val="24"/>
        </w:rPr>
        <w:t xml:space="preserve">托管人报告</w:t>
      </w:r>
    </w:p>
    <w:p>
      <w:pPr>
        <w:jc w:val="left"/>
        <w:rPr>
          <w:rFonts w:ascii="楷体" w:eastAsia="楷体" w:hAnsi="楷体" w:cs="楷体" w:hint="eastAsia"/>
          <w:spacing w:val="9"/>
          <w:sz w:val="21"/>
          <w:szCs w:val="21"/>
        </w:rPr>
      </w:pPr>
      <w:bookmarkStart w:id="1" w:name="_GoBack"/>
      <w:bookmarkEnd w:id="1"/>
      <w:r>
        <w:rPr>
          <w:rFonts w:ascii="楷体" w:eastAsia="楷体" w:hAnsi="楷体" w:cs="楷体" w:hint="eastAsia"/>
          <w:spacing w:val="0"/>
          <w:sz w:val="21"/>
          <w:szCs w:val="21"/>
        </w:rPr>
        <w:t xml:space="preserve">    在本报告期内，托管人严格遵守有关法律法规、托管协议关于托管人职责的约定，尽职尽责地履行了托管职责。在管理人提供的各项数据和信息真实、准确、有效的前提下，在托管人能够知悉和掌握的情况范围内，托管人对财务数据进行了复核，未发现存在虚假记载、误导性陈述或者重大遗漏的情形。</w:t>
      </w: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2025年12月31日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E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3262"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3264"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3265"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3267"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2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nnotationreference">
    <w:name w:val="annotation reference"/>
    <w:uiPriority w:val="99"/>
    <w:unhideWhenUsed/>
    <w:qFormat/>
    <w:rPr>
      <w:sz w:val="21"/>
      <w:szCs w:val="21"/>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zhangguoxing</cp:lastModifiedBy>
  <dcterms:modified xsi:type="dcterms:W3CDTF">2026-03-23T08:13:28Z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0</TotalTime>
  <ScaleCrop>false</ScaleCrop>
  <LinksUpToDate>false</LinksUpToDate>
  <CharactersWithSpaces>2803</CharactersWithSpaces>
  <Application>WPS Office_10.8.2.7119_F1E327BC-269C-435d-A152-05C5408002CA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2052-10.8.2.7119</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0</TotalTime>
  <Pages>4</Pages>
  <Words>419</Words>
  <Characters>2389</Characters>
  <Application>WPS Office_10.8.2.7119_F1E327BC-269C-435d-A152-05C5408002CA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zhangguoxing</cp:lastModifiedBy>
  <cp:revision>22</cp:revision>
  <dcterms:created xsi:type="dcterms:W3CDTF">2021-11-18T10:04:00Z</dcterms:created>
  <dcterms:modified xsi:type="dcterms:W3CDTF">2026-04-21T11:40:47Z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2052-10.8.2.7119</vt:lpstr>
  </property>
  <property fmtid="{D5CDD505-2E9C-101B-9397-08002B2CF9AE}" pid="3" name="ICV">
    <vt:lpstr>31802637FF8E4298AD1DCE61A946E12D</vt:lpstr>
  </property>
</Properties>
</file>