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丰裕固收25246期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丰裕固收25246期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FYG25246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Z7002226000021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2026年1月27日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3,274.9884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2026年1月28日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