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2025年12月11日-2026年1月12日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bookmarkStart w:id="0" w:name="_GoBack" w:colFirst="0" w:colLast="2"/>
            <w:r>
              <w:rPr>
                <w:rFonts w:ascii="楷体" w:hAnsi="楷体" w:eastAsia="楷体" w:cs="楷体"/>
              </w:rPr>
              <w:t>J172411SA801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苏银理财恒源月开放2号A2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1.50%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J00308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苏银理财恒源月开放2号C2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1.55%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J172411SA80C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苏银理财恒源月开放2号E2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1.75%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J01997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苏银理财恒源月开放2号F2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1.50%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J03474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苏银理财恒源月开放2号G2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1.51%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J03607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苏银理财恒源月开放2号H2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1.60%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J06082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苏银理财恒源月开放2号W2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1.40%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J172411SA80B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苏银理财恒源月开放2号（代发专享2）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1.55%</w:t>
            </w:r>
          </w:p>
        </w:tc>
      </w:tr>
      <w:bookmarkEnd w:id="0"/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13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409A6CA3"/>
    <w:rsid w:val="472332B4"/>
    <w:rsid w:val="479A3771"/>
    <w:rsid w:val="5A3203BB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294</Words>
  <Characters>405</Characters>
  <Lines>5</Lines>
  <Paragraphs>1</Paragraphs>
  <TotalTime>17</TotalTime>
  <ScaleCrop>false</ScaleCrop>
  <LinksUpToDate>false</LinksUpToDate>
  <CharactersWithSpaces>405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2023-08-01T10:40:00Z</dcterms:created>
  <dc:creator>User</dc:creator>
  <cp:lastModifiedBy>lhy</cp:lastModifiedBy>
  <dcterms:modified xsi:type="dcterms:W3CDTF">2026-01-13T01:25:29Z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