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outlineLvl w:val="0"/>
        <w:rPr>
          <w:rFonts w:hint="eastAsia" w:ascii="楷体" w:hAnsi="楷体" w:eastAsia="楷体"/>
          <w:b/>
          <w:sz w:val="36"/>
          <w:szCs w:val="36"/>
        </w:rPr>
      </w:pPr>
      <w:r>
        <w:rPr>
          <w:rFonts w:hint="eastAsia" w:ascii="楷体" w:hAnsi="楷体" w:eastAsia="楷体"/>
          <w:b/>
          <w:sz w:val="36"/>
          <w:szCs w:val="36"/>
        </w:rPr>
        <w:t>关于调整“苏银理财恒源</w:t>
      </w:r>
      <w:r>
        <w:rPr>
          <w:rFonts w:hint="eastAsia" w:ascii="楷体" w:hAnsi="楷体" w:eastAsia="楷体"/>
          <w:b/>
          <w:sz w:val="36"/>
          <w:szCs w:val="36"/>
          <w:lang w:val="en-US" w:eastAsia="zh-CN"/>
        </w:rPr>
        <w:t>季开放11号</w:t>
      </w:r>
      <w:r>
        <w:rPr>
          <w:rFonts w:hint="eastAsia" w:ascii="楷体" w:hAnsi="楷体" w:eastAsia="楷体"/>
          <w:b/>
          <w:sz w:val="36"/>
          <w:szCs w:val="36"/>
        </w:rPr>
        <w:t xml:space="preserve">” </w:t>
      </w:r>
    </w:p>
    <w:p>
      <w:pPr>
        <w:jc w:val="center"/>
        <w:outlineLvl w:val="0"/>
        <w:rPr>
          <w:rFonts w:hint="eastAsia" w:ascii="楷体" w:hAnsi="楷体" w:eastAsia="楷体"/>
          <w:b/>
          <w:kern w:val="0"/>
          <w:sz w:val="36"/>
          <w:szCs w:val="36"/>
        </w:rPr>
      </w:pPr>
      <w:r>
        <w:rPr>
          <w:rFonts w:hint="eastAsia" w:ascii="楷体" w:hAnsi="楷体" w:eastAsia="楷体"/>
          <w:b/>
          <w:sz w:val="36"/>
          <w:szCs w:val="36"/>
        </w:rPr>
        <w:t>理财产品要素的公告</w:t>
      </w:r>
    </w:p>
    <w:p>
      <w:pPr>
        <w:spacing w:line="520" w:lineRule="exact"/>
        <w:rPr>
          <w:rFonts w:hint="eastAsia" w:ascii="楷体" w:hAnsi="楷体" w:eastAsia="楷体"/>
          <w:kern w:val="0"/>
          <w:sz w:val="28"/>
          <w:szCs w:val="28"/>
        </w:rPr>
      </w:pPr>
      <w:r>
        <w:rPr>
          <w:rFonts w:hint="eastAsia" w:ascii="楷体" w:hAnsi="楷体" w:eastAsia="楷体"/>
          <w:kern w:val="0"/>
          <w:sz w:val="28"/>
          <w:szCs w:val="28"/>
        </w:rPr>
        <w:t>尊敬的客户：</w:t>
      </w:r>
    </w:p>
    <w:p>
      <w:pPr>
        <w:rPr>
          <w:rFonts w:hint="eastAsia" w:ascii="楷体" w:hAnsi="楷体" w:eastAsia="楷体" w:cs="Times New Roman"/>
          <w:sz w:val="28"/>
          <w:szCs w:val="28"/>
          <w:lang w:val="en-US" w:eastAsia="zh-CN"/>
        </w:rPr>
      </w:pPr>
      <w:r>
        <w:rPr>
          <w:rFonts w:hint="eastAsia"/>
          <w:lang w:val="en-US" w:eastAsia="zh-CN"/>
        </w:rPr>
        <w:t xml:space="preserve">    </w:t>
      </w:r>
      <w:r>
        <w:rPr>
          <w:rFonts w:hint="eastAsia" w:ascii="楷体" w:hAnsi="楷体" w:eastAsia="楷体" w:cs="Times New Roman"/>
          <w:sz w:val="28"/>
          <w:szCs w:val="28"/>
          <w:lang w:val="en-US" w:eastAsia="zh-CN"/>
        </w:rPr>
        <w:t xml:space="preserve"> 管理人拟对“苏银理财恒源季开放11号”理财产品部分要素进行调整，具体如下：</w:t>
      </w:r>
    </w:p>
    <w:p>
      <w:pPr>
        <w:pStyle w:val="2"/>
        <w:ind w:firstLine="562" w:firstLineChars="200"/>
        <w:rPr>
          <w:rFonts w:hint="default"/>
          <w:b/>
          <w:bCs/>
          <w:lang w:val="en-US" w:eastAsia="zh-CN"/>
        </w:rPr>
      </w:pPr>
      <w:r>
        <w:rPr>
          <w:rFonts w:hint="eastAsia" w:ascii="楷体" w:hAnsi="楷体" w:eastAsia="楷体" w:cs="Times New Roman"/>
          <w:b/>
          <w:bCs/>
          <w:sz w:val="28"/>
          <w:szCs w:val="28"/>
          <w:lang w:val="en-US" w:eastAsia="zh-CN"/>
        </w:rPr>
        <w:t>一、销售对象调整</w:t>
      </w:r>
    </w:p>
    <w:tbl>
      <w:tblPr>
        <w:tblStyle w:val="14"/>
        <w:tblW w:w="886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13"/>
        <w:gridCol w:w="1195"/>
        <w:gridCol w:w="2732"/>
        <w:gridCol w:w="30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4" w:hRule="atLeast"/>
        </w:trPr>
        <w:tc>
          <w:tcPr>
            <w:tcW w:w="1913" w:type="dxa"/>
            <w:noWrap w:val="0"/>
            <w:vAlign w:val="center"/>
          </w:tcPr>
          <w:p>
            <w:pPr>
              <w:pStyle w:val="11"/>
              <w:spacing w:before="0" w:beforeAutospacing="0" w:after="0" w:afterAutospacing="0" w:line="480" w:lineRule="auto"/>
              <w:jc w:val="center"/>
              <w:rPr>
                <w:rFonts w:hint="default" w:ascii="楷体" w:hAnsi="楷体" w:eastAsia="楷体" w:cs="Times New Roman"/>
                <w:b/>
                <w:bCs/>
                <w:sz w:val="24"/>
                <w:szCs w:val="24"/>
                <w:vertAlign w:val="baseline"/>
                <w:lang w:val="en-US" w:eastAsia="zh-CN"/>
              </w:rPr>
            </w:pPr>
            <w:r>
              <w:rPr>
                <w:rFonts w:hint="eastAsia" w:ascii="楷体" w:hAnsi="楷体" w:eastAsia="楷体" w:cs="Times New Roman"/>
                <w:b/>
                <w:bCs/>
                <w:sz w:val="24"/>
                <w:szCs w:val="24"/>
                <w:lang w:val="en-US" w:eastAsia="zh-CN"/>
              </w:rPr>
              <w:t>销售简称</w:t>
            </w:r>
          </w:p>
        </w:tc>
        <w:tc>
          <w:tcPr>
            <w:tcW w:w="1195" w:type="dxa"/>
            <w:noWrap w:val="0"/>
            <w:vAlign w:val="center"/>
          </w:tcPr>
          <w:p>
            <w:pPr>
              <w:pStyle w:val="11"/>
              <w:spacing w:before="0" w:beforeAutospacing="0" w:after="0" w:afterAutospacing="0" w:line="480" w:lineRule="auto"/>
              <w:jc w:val="center"/>
              <w:rPr>
                <w:rFonts w:hint="default" w:ascii="楷体" w:hAnsi="楷体" w:eastAsia="楷体" w:cs="Times New Roman"/>
                <w:b/>
                <w:bCs/>
                <w:sz w:val="24"/>
                <w:szCs w:val="24"/>
                <w:vertAlign w:val="baseline"/>
                <w:lang w:val="en-US" w:eastAsia="zh-CN"/>
              </w:rPr>
            </w:pPr>
            <w:r>
              <w:rPr>
                <w:rFonts w:hint="eastAsia" w:ascii="楷体" w:hAnsi="楷体" w:eastAsia="楷体" w:cs="Times New Roman"/>
                <w:b/>
                <w:bCs/>
                <w:sz w:val="24"/>
                <w:szCs w:val="24"/>
              </w:rPr>
              <w:t>销售代码</w:t>
            </w:r>
          </w:p>
        </w:tc>
        <w:tc>
          <w:tcPr>
            <w:tcW w:w="2732" w:type="dxa"/>
            <w:noWrap w:val="0"/>
            <w:vAlign w:val="center"/>
          </w:tcPr>
          <w:p>
            <w:pPr>
              <w:pStyle w:val="11"/>
              <w:spacing w:before="0" w:beforeAutospacing="0" w:after="0" w:afterAutospacing="0" w:line="480" w:lineRule="auto"/>
              <w:jc w:val="center"/>
              <w:rPr>
                <w:rFonts w:hint="eastAsia" w:ascii="楷体" w:hAnsi="楷体" w:eastAsia="楷体" w:cs="Times New Roman"/>
                <w:b/>
                <w:bCs/>
                <w:sz w:val="24"/>
                <w:szCs w:val="24"/>
                <w:lang w:val="en-US" w:eastAsia="zh-CN"/>
              </w:rPr>
            </w:pPr>
            <w:r>
              <w:rPr>
                <w:rFonts w:hint="eastAsia" w:ascii="楷体" w:hAnsi="楷体" w:eastAsia="楷体" w:cs="Times New Roman"/>
                <w:b/>
                <w:bCs/>
                <w:sz w:val="24"/>
                <w:szCs w:val="24"/>
                <w:lang w:val="en-US" w:eastAsia="zh-CN"/>
              </w:rPr>
              <w:t>销售对象</w:t>
            </w:r>
          </w:p>
          <w:p>
            <w:pPr>
              <w:pStyle w:val="11"/>
              <w:spacing w:before="0" w:beforeAutospacing="0" w:after="0" w:afterAutospacing="0" w:line="480" w:lineRule="auto"/>
              <w:jc w:val="center"/>
              <w:rPr>
                <w:rFonts w:hint="default" w:ascii="楷体" w:hAnsi="楷体" w:eastAsia="楷体" w:cs="Times New Roman"/>
                <w:b/>
                <w:bCs/>
                <w:sz w:val="24"/>
                <w:szCs w:val="24"/>
                <w:vertAlign w:val="baseline"/>
                <w:lang w:val="en-US" w:eastAsia="zh-CN"/>
              </w:rPr>
            </w:pPr>
            <w:r>
              <w:rPr>
                <w:rFonts w:hint="eastAsia" w:ascii="楷体" w:hAnsi="楷体" w:eastAsia="楷体" w:cs="Times New Roman"/>
                <w:b/>
                <w:bCs/>
                <w:sz w:val="24"/>
                <w:szCs w:val="24"/>
                <w:lang w:val="en-US" w:eastAsia="zh-CN"/>
              </w:rPr>
              <w:t>（调整前）</w:t>
            </w:r>
          </w:p>
        </w:tc>
        <w:tc>
          <w:tcPr>
            <w:tcW w:w="3027" w:type="dxa"/>
            <w:noWrap w:val="0"/>
            <w:vAlign w:val="center"/>
          </w:tcPr>
          <w:p>
            <w:pPr>
              <w:pStyle w:val="11"/>
              <w:spacing w:before="0" w:beforeAutospacing="0" w:after="0" w:afterAutospacing="0" w:line="480" w:lineRule="auto"/>
              <w:jc w:val="center"/>
              <w:rPr>
                <w:rFonts w:hint="eastAsia" w:ascii="楷体" w:hAnsi="楷体" w:eastAsia="楷体" w:cs="Times New Roman"/>
                <w:b/>
                <w:bCs/>
                <w:sz w:val="24"/>
                <w:szCs w:val="24"/>
                <w:lang w:val="en-US" w:eastAsia="zh-CN"/>
              </w:rPr>
            </w:pPr>
            <w:r>
              <w:rPr>
                <w:rFonts w:hint="eastAsia" w:ascii="楷体" w:hAnsi="楷体" w:eastAsia="楷体" w:cs="Times New Roman"/>
                <w:b/>
                <w:bCs/>
                <w:sz w:val="24"/>
                <w:szCs w:val="24"/>
                <w:lang w:val="en-US" w:eastAsia="zh-CN"/>
              </w:rPr>
              <w:t>销售对象</w:t>
            </w:r>
          </w:p>
          <w:p>
            <w:pPr>
              <w:pStyle w:val="11"/>
              <w:spacing w:before="0" w:beforeAutospacing="0" w:after="0" w:afterAutospacing="0" w:line="480" w:lineRule="auto"/>
              <w:jc w:val="center"/>
              <w:rPr>
                <w:rFonts w:hint="eastAsia" w:ascii="楷体" w:hAnsi="楷体" w:eastAsia="楷体" w:cs="Times New Roman"/>
                <w:b/>
                <w:bCs/>
                <w:sz w:val="24"/>
                <w:szCs w:val="24"/>
                <w:lang w:val="en-US" w:eastAsia="zh-CN"/>
              </w:rPr>
            </w:pPr>
            <w:r>
              <w:rPr>
                <w:rFonts w:hint="eastAsia" w:ascii="楷体" w:hAnsi="楷体" w:eastAsia="楷体" w:cs="Times New Roman"/>
                <w:b/>
                <w:bCs/>
                <w:sz w:val="24"/>
                <w:szCs w:val="24"/>
                <w:lang w:val="en-US" w:eastAsia="zh-CN"/>
              </w:rPr>
              <w:t>（调整后）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5" w:hRule="atLeast"/>
        </w:trPr>
        <w:tc>
          <w:tcPr>
            <w:tcW w:w="1913" w:type="dxa"/>
            <w:noWrap w:val="0"/>
            <w:vAlign w:val="center"/>
          </w:tcPr>
          <w:p>
            <w:pPr>
              <w:keepNext w:val="0"/>
              <w:keepLines w:val="0"/>
              <w:widowControl/>
              <w:suppressLineNumbers w:val="0"/>
              <w:jc w:val="center"/>
              <w:textAlignment w:val="center"/>
              <w:rPr>
                <w:rFonts w:hint="eastAsia" w:ascii="楷体" w:hAnsi="楷体" w:eastAsia="楷体" w:cs="Times New Roman"/>
                <w:kern w:val="2"/>
                <w:sz w:val="32"/>
                <w:szCs w:val="32"/>
                <w:lang w:val="en-US" w:eastAsia="zh-CN" w:bidi="ar-SA"/>
              </w:rPr>
            </w:pPr>
            <w:r>
              <w:rPr>
                <w:rFonts w:hint="eastAsia" w:ascii="楷体" w:hAnsi="楷体" w:eastAsia="楷体" w:cs="楷体"/>
                <w:i w:val="0"/>
                <w:color w:val="000000"/>
                <w:kern w:val="0"/>
                <w:sz w:val="24"/>
                <w:szCs w:val="24"/>
                <w:u w:val="none"/>
                <w:lang w:val="en-US" w:eastAsia="zh-CN" w:bidi="ar"/>
              </w:rPr>
              <w:t>苏银理财恒源季开放11号E</w:t>
            </w:r>
          </w:p>
        </w:tc>
        <w:tc>
          <w:tcPr>
            <w:tcW w:w="1195" w:type="dxa"/>
            <w:noWrap w:val="0"/>
            <w:vAlign w:val="center"/>
          </w:tcPr>
          <w:p>
            <w:pPr>
              <w:keepNext w:val="0"/>
              <w:keepLines w:val="0"/>
              <w:widowControl/>
              <w:suppressLineNumbers w:val="0"/>
              <w:jc w:val="center"/>
              <w:textAlignment w:val="center"/>
              <w:rPr>
                <w:rFonts w:hint="eastAsia" w:ascii="楷体" w:hAnsi="楷体" w:eastAsia="楷体" w:cs="楷体"/>
                <w:i w:val="0"/>
                <w:color w:val="000000"/>
                <w:kern w:val="0"/>
                <w:sz w:val="32"/>
                <w:szCs w:val="32"/>
                <w:u w:val="none"/>
                <w:lang w:val="en-US" w:eastAsia="zh-CN" w:bidi="ar"/>
              </w:rPr>
            </w:pPr>
            <w:r>
              <w:rPr>
                <w:rFonts w:hint="eastAsia" w:ascii="楷体" w:hAnsi="楷体" w:eastAsia="楷体" w:cs="楷体"/>
                <w:i w:val="0"/>
                <w:iCs w:val="0"/>
                <w:color w:val="000000"/>
                <w:kern w:val="0"/>
                <w:sz w:val="24"/>
                <w:szCs w:val="24"/>
                <w:u w:val="none"/>
                <w:lang w:val="en-US" w:eastAsia="zh-CN" w:bidi="ar"/>
              </w:rPr>
              <w:t>J02807</w:t>
            </w:r>
          </w:p>
        </w:tc>
        <w:tc>
          <w:tcPr>
            <w:tcW w:w="2732" w:type="dxa"/>
            <w:noWrap w:val="0"/>
            <w:vAlign w:val="center"/>
          </w:tcPr>
          <w:p>
            <w:pPr>
              <w:keepNext w:val="0"/>
              <w:keepLines w:val="0"/>
              <w:pageBreakBefore w:val="0"/>
              <w:widowControl/>
              <w:kinsoku/>
              <w:wordWrap/>
              <w:overflowPunct/>
              <w:topLinePunct w:val="0"/>
              <w:autoSpaceDE/>
              <w:autoSpaceDN/>
              <w:bidi w:val="0"/>
              <w:adjustRightInd/>
              <w:snapToGrid/>
              <w:jc w:val="center"/>
              <w:textAlignment w:val="center"/>
              <w:rPr>
                <w:rFonts w:hint="eastAsia" w:ascii="楷体" w:hAnsi="楷体" w:eastAsia="楷体" w:cs="宋体"/>
                <w:spacing w:val="-2"/>
                <w:sz w:val="21"/>
                <w:szCs w:val="21"/>
                <w:lang w:val="en-US" w:eastAsia="zh-CN"/>
              </w:rPr>
            </w:pPr>
            <w:r>
              <w:rPr>
                <w:rFonts w:hint="eastAsia" w:ascii="楷体" w:hAnsi="楷体" w:eastAsia="楷体" w:cs="宋体"/>
                <w:spacing w:val="-2"/>
                <w:sz w:val="21"/>
                <w:szCs w:val="21"/>
                <w:lang w:val="en-US" w:eastAsia="zh-CN"/>
              </w:rPr>
              <w:t>面向</w:t>
            </w:r>
            <w:r>
              <w:rPr>
                <w:rFonts w:hint="eastAsia" w:ascii="楷体" w:hAnsi="楷体" w:eastAsia="楷体" w:cs="宋体"/>
                <w:spacing w:val="-2"/>
                <w:sz w:val="21"/>
                <w:szCs w:val="21"/>
              </w:rPr>
              <w:t>个人和机构投资者销售</w:t>
            </w:r>
          </w:p>
        </w:tc>
        <w:tc>
          <w:tcPr>
            <w:tcW w:w="3027" w:type="dxa"/>
            <w:noWrap w:val="0"/>
            <w:vAlign w:val="center"/>
          </w:tcPr>
          <w:p>
            <w:pPr>
              <w:keepNext w:val="0"/>
              <w:keepLines w:val="0"/>
              <w:pageBreakBefore w:val="0"/>
              <w:widowControl/>
              <w:kinsoku/>
              <w:wordWrap/>
              <w:overflowPunct/>
              <w:topLinePunct w:val="0"/>
              <w:autoSpaceDE/>
              <w:autoSpaceDN/>
              <w:bidi w:val="0"/>
              <w:adjustRightInd/>
              <w:snapToGrid/>
              <w:jc w:val="center"/>
              <w:textAlignment w:val="center"/>
              <w:rPr>
                <w:rFonts w:hint="eastAsia" w:ascii="楷体" w:hAnsi="楷体" w:eastAsia="楷体" w:cs="宋体"/>
                <w:spacing w:val="-2"/>
                <w:sz w:val="21"/>
                <w:szCs w:val="21"/>
                <w:lang w:val="en-US" w:eastAsia="zh-CN"/>
              </w:rPr>
            </w:pPr>
            <w:r>
              <w:rPr>
                <w:rFonts w:hint="eastAsia" w:ascii="楷体" w:hAnsi="楷体" w:eastAsia="楷体" w:cs="宋体"/>
                <w:spacing w:val="-2"/>
                <w:sz w:val="21"/>
                <w:szCs w:val="21"/>
              </w:rPr>
              <w:t>面向</w:t>
            </w:r>
            <w:r>
              <w:rPr>
                <w:rFonts w:hint="eastAsia" w:ascii="楷体" w:hAnsi="楷体" w:eastAsia="楷体" w:cs="宋体"/>
                <w:spacing w:val="-2"/>
                <w:sz w:val="21"/>
                <w:szCs w:val="21"/>
                <w:highlight w:val="none"/>
              </w:rPr>
              <w:t>个人投资者销售</w:t>
            </w:r>
            <w:r>
              <w:rPr>
                <w:rFonts w:hint="eastAsia" w:ascii="楷体" w:hAnsi="楷体" w:eastAsia="楷体" w:cs="宋体"/>
                <w:spacing w:val="-2"/>
                <w:sz w:val="21"/>
                <w:szCs w:val="21"/>
              </w:rPr>
              <w:t>（销售机构江苏银行仅限私行客户购买</w:t>
            </w:r>
            <w:r>
              <w:rPr>
                <w:rFonts w:hint="eastAsia" w:ascii="楷体" w:hAnsi="楷体" w:eastAsia="楷体" w:cs="宋体"/>
                <w:spacing w:val="-2"/>
                <w:sz w:val="21"/>
                <w:szCs w:val="21"/>
                <w:lang w:val="en-US" w:eastAsia="zh-CN"/>
              </w:rPr>
              <w:t>，具体以销售机构设置为准</w:t>
            </w:r>
            <w:r>
              <w:rPr>
                <w:rFonts w:hint="eastAsia" w:ascii="楷体" w:hAnsi="楷体" w:eastAsia="楷体" w:cs="宋体"/>
                <w:spacing w:val="-2"/>
                <w:sz w:val="21"/>
                <w:szCs w:val="21"/>
                <w:highlight w:val="none"/>
                <w:lang w:val="en-US" w:eastAsia="zh-CN"/>
              </w:rPr>
              <w:t>。</w:t>
            </w:r>
            <w:r>
              <w:rPr>
                <w:rFonts w:hint="eastAsia" w:ascii="楷体" w:hAnsi="楷体" w:eastAsia="楷体" w:cs="宋体"/>
                <w:spacing w:val="-2"/>
                <w:sz w:val="21"/>
                <w:szCs w:val="21"/>
              </w:rPr>
              <w:t>江苏银行私行客户指在江苏银行日均资产大于等于600万元的个人客户）</w:t>
            </w:r>
          </w:p>
        </w:tc>
      </w:tr>
    </w:tbl>
    <w:p>
      <w:pPr>
        <w:pStyle w:val="2"/>
        <w:numPr>
          <w:ilvl w:val="0"/>
          <w:numId w:val="1"/>
        </w:numPr>
        <w:ind w:firstLine="562" w:firstLineChars="200"/>
        <w:rPr>
          <w:rFonts w:hint="eastAsia" w:ascii="楷体" w:hAnsi="楷体" w:eastAsia="楷体" w:cs="Times New Roman"/>
          <w:b/>
          <w:bCs/>
          <w:sz w:val="28"/>
          <w:szCs w:val="28"/>
          <w:lang w:val="en-US" w:eastAsia="zh-CN"/>
        </w:rPr>
      </w:pPr>
      <w:r>
        <w:rPr>
          <w:rFonts w:hint="eastAsia" w:ascii="楷体" w:hAnsi="楷体" w:eastAsia="楷体" w:cs="Times New Roman"/>
          <w:b/>
          <w:bCs/>
          <w:sz w:val="28"/>
          <w:szCs w:val="28"/>
          <w:lang w:val="en-US" w:eastAsia="zh-CN"/>
        </w:rPr>
        <w:t>销售起点/追加金额调整</w:t>
      </w:r>
    </w:p>
    <w:tbl>
      <w:tblPr>
        <w:tblStyle w:val="14"/>
        <w:tblW w:w="890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13"/>
        <w:gridCol w:w="1195"/>
        <w:gridCol w:w="2936"/>
        <w:gridCol w:w="286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4" w:hRule="atLeast"/>
        </w:trPr>
        <w:tc>
          <w:tcPr>
            <w:tcW w:w="1913" w:type="dxa"/>
            <w:noWrap w:val="0"/>
            <w:vAlign w:val="center"/>
          </w:tcPr>
          <w:p>
            <w:pPr>
              <w:pStyle w:val="11"/>
              <w:spacing w:before="0" w:beforeAutospacing="0" w:after="0" w:afterAutospacing="0" w:line="480" w:lineRule="auto"/>
              <w:jc w:val="center"/>
              <w:rPr>
                <w:rFonts w:hint="default" w:ascii="楷体" w:hAnsi="楷体" w:eastAsia="楷体" w:cs="Times New Roman"/>
                <w:b/>
                <w:bCs/>
                <w:sz w:val="24"/>
                <w:szCs w:val="24"/>
                <w:vertAlign w:val="baseline"/>
                <w:lang w:val="en-US" w:eastAsia="zh-CN"/>
              </w:rPr>
            </w:pPr>
            <w:r>
              <w:rPr>
                <w:rFonts w:hint="eastAsia" w:ascii="楷体" w:hAnsi="楷体" w:eastAsia="楷体" w:cs="Times New Roman"/>
                <w:b/>
                <w:bCs/>
                <w:sz w:val="24"/>
                <w:szCs w:val="24"/>
                <w:lang w:val="en-US" w:eastAsia="zh-CN"/>
              </w:rPr>
              <w:t>销售简称</w:t>
            </w:r>
          </w:p>
        </w:tc>
        <w:tc>
          <w:tcPr>
            <w:tcW w:w="1195" w:type="dxa"/>
            <w:noWrap w:val="0"/>
            <w:vAlign w:val="center"/>
          </w:tcPr>
          <w:p>
            <w:pPr>
              <w:pStyle w:val="11"/>
              <w:spacing w:before="0" w:beforeAutospacing="0" w:after="0" w:afterAutospacing="0" w:line="480" w:lineRule="auto"/>
              <w:jc w:val="center"/>
              <w:rPr>
                <w:rFonts w:hint="default" w:ascii="楷体" w:hAnsi="楷体" w:eastAsia="楷体" w:cs="Times New Roman"/>
                <w:b/>
                <w:bCs/>
                <w:sz w:val="24"/>
                <w:szCs w:val="24"/>
                <w:vertAlign w:val="baseline"/>
                <w:lang w:val="en-US" w:eastAsia="zh-CN"/>
              </w:rPr>
            </w:pPr>
            <w:r>
              <w:rPr>
                <w:rFonts w:hint="eastAsia" w:ascii="楷体" w:hAnsi="楷体" w:eastAsia="楷体" w:cs="Times New Roman"/>
                <w:b/>
                <w:bCs/>
                <w:sz w:val="24"/>
                <w:szCs w:val="24"/>
              </w:rPr>
              <w:t>销售代码</w:t>
            </w:r>
          </w:p>
        </w:tc>
        <w:tc>
          <w:tcPr>
            <w:tcW w:w="2936" w:type="dxa"/>
            <w:noWrap w:val="0"/>
            <w:vAlign w:val="center"/>
          </w:tcPr>
          <w:p>
            <w:pPr>
              <w:pStyle w:val="11"/>
              <w:spacing w:before="0" w:beforeAutospacing="0" w:after="0" w:afterAutospacing="0" w:line="480" w:lineRule="auto"/>
              <w:jc w:val="center"/>
              <w:rPr>
                <w:rFonts w:hint="eastAsia" w:ascii="楷体" w:hAnsi="楷体" w:eastAsia="楷体" w:cs="Times New Roman"/>
                <w:b/>
                <w:bCs/>
                <w:sz w:val="24"/>
                <w:szCs w:val="24"/>
                <w:lang w:val="en-US" w:eastAsia="zh-CN"/>
              </w:rPr>
            </w:pPr>
            <w:r>
              <w:rPr>
                <w:rFonts w:hint="eastAsia" w:ascii="楷体" w:hAnsi="楷体" w:eastAsia="楷体" w:cs="Times New Roman"/>
                <w:b/>
                <w:bCs/>
                <w:sz w:val="24"/>
                <w:szCs w:val="24"/>
                <w:lang w:val="en-US" w:eastAsia="zh-CN"/>
              </w:rPr>
              <w:t>销售起点/追加金额</w:t>
            </w:r>
          </w:p>
          <w:p>
            <w:pPr>
              <w:pStyle w:val="11"/>
              <w:spacing w:before="0" w:beforeAutospacing="0" w:after="0" w:afterAutospacing="0" w:line="480" w:lineRule="auto"/>
              <w:jc w:val="center"/>
              <w:rPr>
                <w:rFonts w:hint="default" w:ascii="楷体" w:hAnsi="楷体" w:eastAsia="楷体" w:cs="Times New Roman"/>
                <w:b/>
                <w:bCs/>
                <w:sz w:val="24"/>
                <w:szCs w:val="24"/>
                <w:vertAlign w:val="baseline"/>
                <w:lang w:val="en-US" w:eastAsia="zh-CN"/>
              </w:rPr>
            </w:pPr>
            <w:r>
              <w:rPr>
                <w:rFonts w:hint="eastAsia" w:ascii="楷体" w:hAnsi="楷体" w:eastAsia="楷体" w:cs="Times New Roman"/>
                <w:b/>
                <w:bCs/>
                <w:sz w:val="24"/>
                <w:szCs w:val="24"/>
                <w:lang w:val="en-US" w:eastAsia="zh-CN"/>
              </w:rPr>
              <w:t>（调整前）</w:t>
            </w:r>
          </w:p>
        </w:tc>
        <w:tc>
          <w:tcPr>
            <w:tcW w:w="2864" w:type="dxa"/>
            <w:noWrap w:val="0"/>
            <w:vAlign w:val="center"/>
          </w:tcPr>
          <w:p>
            <w:pPr>
              <w:pStyle w:val="11"/>
              <w:spacing w:before="0" w:beforeAutospacing="0" w:after="0" w:afterAutospacing="0" w:line="480" w:lineRule="auto"/>
              <w:jc w:val="center"/>
              <w:rPr>
                <w:rFonts w:hint="eastAsia" w:ascii="楷体" w:hAnsi="楷体" w:eastAsia="楷体" w:cs="Times New Roman"/>
                <w:b/>
                <w:bCs/>
                <w:sz w:val="24"/>
                <w:szCs w:val="24"/>
                <w:lang w:val="en-US" w:eastAsia="zh-CN"/>
              </w:rPr>
            </w:pPr>
            <w:r>
              <w:rPr>
                <w:rFonts w:hint="eastAsia" w:ascii="楷体" w:hAnsi="楷体" w:eastAsia="楷体" w:cs="Times New Roman"/>
                <w:b/>
                <w:bCs/>
                <w:sz w:val="24"/>
                <w:szCs w:val="24"/>
                <w:lang w:val="en-US" w:eastAsia="zh-CN"/>
              </w:rPr>
              <w:t>销售起点/追加金额</w:t>
            </w:r>
          </w:p>
          <w:p>
            <w:pPr>
              <w:pStyle w:val="11"/>
              <w:spacing w:before="0" w:beforeAutospacing="0" w:after="0" w:afterAutospacing="0" w:line="480" w:lineRule="auto"/>
              <w:jc w:val="center"/>
              <w:rPr>
                <w:rFonts w:hint="eastAsia" w:ascii="楷体" w:hAnsi="楷体" w:eastAsia="楷体" w:cs="Times New Roman"/>
                <w:b/>
                <w:bCs/>
                <w:sz w:val="24"/>
                <w:szCs w:val="24"/>
                <w:lang w:val="en-US" w:eastAsia="zh-CN"/>
              </w:rPr>
            </w:pPr>
            <w:r>
              <w:rPr>
                <w:rFonts w:hint="eastAsia" w:ascii="楷体" w:hAnsi="楷体" w:eastAsia="楷体" w:cs="Times New Roman"/>
                <w:b/>
                <w:bCs/>
                <w:sz w:val="24"/>
                <w:szCs w:val="24"/>
                <w:lang w:val="en-US" w:eastAsia="zh-CN"/>
              </w:rPr>
              <w:t>（调整后）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5" w:hRule="atLeast"/>
        </w:trPr>
        <w:tc>
          <w:tcPr>
            <w:tcW w:w="1913" w:type="dxa"/>
            <w:noWrap w:val="0"/>
            <w:vAlign w:val="center"/>
          </w:tcPr>
          <w:p>
            <w:pPr>
              <w:keepNext w:val="0"/>
              <w:keepLines w:val="0"/>
              <w:widowControl/>
              <w:suppressLineNumbers w:val="0"/>
              <w:jc w:val="center"/>
              <w:textAlignment w:val="center"/>
              <w:rPr>
                <w:rFonts w:hint="eastAsia" w:ascii="楷体" w:hAnsi="楷体" w:eastAsia="楷体" w:cs="楷体"/>
                <w:i w:val="0"/>
                <w:color w:val="000000"/>
                <w:kern w:val="0"/>
                <w:sz w:val="24"/>
                <w:szCs w:val="24"/>
                <w:u w:val="none"/>
                <w:lang w:val="en-US" w:eastAsia="zh-CN" w:bidi="ar"/>
              </w:rPr>
            </w:pPr>
            <w:r>
              <w:rPr>
                <w:rFonts w:hint="eastAsia" w:ascii="楷体" w:hAnsi="楷体" w:eastAsia="楷体" w:cs="楷体"/>
                <w:i w:val="0"/>
                <w:color w:val="000000"/>
                <w:kern w:val="0"/>
                <w:sz w:val="24"/>
                <w:szCs w:val="24"/>
                <w:u w:val="none"/>
                <w:lang w:val="en-US" w:eastAsia="zh-CN" w:bidi="ar"/>
              </w:rPr>
              <w:t>苏银理财恒源季开放11号E</w:t>
            </w:r>
          </w:p>
        </w:tc>
        <w:tc>
          <w:tcPr>
            <w:tcW w:w="1195" w:type="dxa"/>
            <w:noWrap w:val="0"/>
            <w:vAlign w:val="center"/>
          </w:tcPr>
          <w:p>
            <w:pPr>
              <w:keepNext w:val="0"/>
              <w:keepLines w:val="0"/>
              <w:widowControl/>
              <w:suppressLineNumbers w:val="0"/>
              <w:jc w:val="center"/>
              <w:textAlignment w:val="center"/>
              <w:rPr>
                <w:rFonts w:hint="eastAsia" w:ascii="楷体" w:hAnsi="楷体" w:eastAsia="楷体" w:cs="楷体"/>
                <w:i w:val="0"/>
                <w:iCs w:val="0"/>
                <w:color w:val="000000"/>
                <w:kern w:val="0"/>
                <w:sz w:val="24"/>
                <w:szCs w:val="24"/>
                <w:u w:val="none"/>
                <w:lang w:val="en-US" w:eastAsia="zh-CN" w:bidi="ar"/>
              </w:rPr>
            </w:pPr>
            <w:r>
              <w:rPr>
                <w:rFonts w:hint="eastAsia" w:ascii="楷体" w:hAnsi="楷体" w:eastAsia="楷体" w:cs="楷体"/>
                <w:i w:val="0"/>
                <w:iCs w:val="0"/>
                <w:color w:val="000000"/>
                <w:kern w:val="0"/>
                <w:sz w:val="24"/>
                <w:szCs w:val="24"/>
                <w:u w:val="none"/>
                <w:lang w:val="en-US" w:eastAsia="zh-CN" w:bidi="ar"/>
              </w:rPr>
              <w:t>J02807</w:t>
            </w:r>
          </w:p>
        </w:tc>
        <w:tc>
          <w:tcPr>
            <w:tcW w:w="2936" w:type="dxa"/>
            <w:noWrap w:val="0"/>
            <w:vAlign w:val="center"/>
          </w:tcPr>
          <w:p>
            <w:pPr>
              <w:keepNext w:val="0"/>
              <w:keepLines w:val="0"/>
              <w:pageBreakBefore w:val="0"/>
              <w:widowControl/>
              <w:kinsoku/>
              <w:wordWrap/>
              <w:overflowPunct/>
              <w:topLinePunct w:val="0"/>
              <w:autoSpaceDE/>
              <w:autoSpaceDN/>
              <w:bidi w:val="0"/>
              <w:adjustRightInd/>
              <w:snapToGrid/>
              <w:jc w:val="center"/>
              <w:textAlignment w:val="center"/>
              <w:rPr>
                <w:rFonts w:hint="eastAsia" w:ascii="楷体" w:hAnsi="楷体" w:eastAsia="楷体" w:cs="宋体"/>
                <w:spacing w:val="-2"/>
                <w:kern w:val="2"/>
                <w:sz w:val="21"/>
                <w:szCs w:val="21"/>
                <w:highlight w:val="none"/>
                <w:lang w:val="en-US" w:eastAsia="zh-CN" w:bidi="ar-SA"/>
              </w:rPr>
            </w:pPr>
            <w:r>
              <w:rPr>
                <w:rFonts w:hint="eastAsia" w:ascii="楷体" w:hAnsi="楷体" w:eastAsia="楷体" w:cs="宋体"/>
                <w:spacing w:val="-2"/>
                <w:sz w:val="21"/>
                <w:szCs w:val="21"/>
                <w:highlight w:val="none"/>
              </w:rPr>
              <w:t>认购起点</w:t>
            </w:r>
            <w:r>
              <w:rPr>
                <w:rFonts w:hint="eastAsia" w:ascii="楷体" w:hAnsi="楷体" w:eastAsia="楷体" w:cs="宋体"/>
                <w:spacing w:val="-2"/>
                <w:sz w:val="21"/>
                <w:szCs w:val="21"/>
                <w:highlight w:val="none"/>
                <w:lang w:val="en-US" w:eastAsia="zh-CN"/>
              </w:rPr>
              <w:t>2</w:t>
            </w:r>
            <w:r>
              <w:rPr>
                <w:rFonts w:hint="eastAsia" w:ascii="楷体" w:hAnsi="楷体" w:eastAsia="楷体" w:cs="宋体"/>
                <w:spacing w:val="-2"/>
                <w:sz w:val="21"/>
                <w:szCs w:val="21"/>
                <w:highlight w:val="none"/>
              </w:rPr>
              <w:t>0万元，追加金额为1万元的整数倍</w:t>
            </w:r>
            <w:r>
              <w:rPr>
                <w:rFonts w:hint="eastAsia" w:ascii="楷体" w:hAnsi="楷体" w:eastAsia="楷体" w:cs="宋体"/>
                <w:spacing w:val="-2"/>
                <w:sz w:val="21"/>
                <w:szCs w:val="21"/>
                <w:highlight w:val="none"/>
                <w:lang w:eastAsia="zh-CN"/>
              </w:rPr>
              <w:t>。</w:t>
            </w:r>
          </w:p>
        </w:tc>
        <w:tc>
          <w:tcPr>
            <w:tcW w:w="2864" w:type="dxa"/>
            <w:noWrap w:val="0"/>
            <w:vAlign w:val="center"/>
          </w:tcPr>
          <w:p>
            <w:pPr>
              <w:keepNext w:val="0"/>
              <w:keepLines w:val="0"/>
              <w:pageBreakBefore w:val="0"/>
              <w:widowControl/>
              <w:kinsoku/>
              <w:wordWrap/>
              <w:overflowPunct/>
              <w:topLinePunct w:val="0"/>
              <w:autoSpaceDE/>
              <w:autoSpaceDN/>
              <w:bidi w:val="0"/>
              <w:adjustRightInd/>
              <w:snapToGrid/>
              <w:jc w:val="center"/>
              <w:textAlignment w:val="center"/>
              <w:rPr>
                <w:rFonts w:hint="eastAsia" w:ascii="楷体" w:hAnsi="楷体" w:eastAsia="楷体" w:cs="宋体"/>
                <w:spacing w:val="-2"/>
                <w:kern w:val="2"/>
                <w:sz w:val="21"/>
                <w:szCs w:val="21"/>
                <w:highlight w:val="none"/>
                <w:lang w:val="en-US" w:eastAsia="zh-CN" w:bidi="ar-SA"/>
              </w:rPr>
            </w:pPr>
            <w:r>
              <w:rPr>
                <w:rFonts w:hint="eastAsia" w:ascii="楷体" w:hAnsi="楷体" w:eastAsia="楷体" w:cs="宋体"/>
                <w:spacing w:val="-2"/>
                <w:sz w:val="21"/>
                <w:szCs w:val="21"/>
                <w:highlight w:val="none"/>
              </w:rPr>
              <w:t>认购起点</w:t>
            </w:r>
            <w:r>
              <w:rPr>
                <w:rFonts w:hint="eastAsia" w:ascii="楷体" w:hAnsi="楷体" w:eastAsia="楷体" w:cs="宋体"/>
                <w:spacing w:val="-2"/>
                <w:sz w:val="21"/>
                <w:szCs w:val="21"/>
                <w:highlight w:val="none"/>
                <w:lang w:val="en-US" w:eastAsia="zh-CN"/>
              </w:rPr>
              <w:t>10</w:t>
            </w:r>
            <w:r>
              <w:rPr>
                <w:rFonts w:hint="eastAsia" w:ascii="楷体" w:hAnsi="楷体" w:eastAsia="楷体" w:cs="宋体"/>
                <w:spacing w:val="-2"/>
                <w:sz w:val="21"/>
                <w:szCs w:val="21"/>
                <w:highlight w:val="none"/>
              </w:rPr>
              <w:t>0万元，追加金额为1万元的整数倍</w:t>
            </w:r>
            <w:r>
              <w:rPr>
                <w:rFonts w:hint="eastAsia" w:ascii="楷体" w:hAnsi="楷体" w:eastAsia="楷体" w:cs="宋体"/>
                <w:spacing w:val="-2"/>
                <w:sz w:val="21"/>
                <w:szCs w:val="21"/>
                <w:highlight w:val="none"/>
                <w:lang w:eastAsia="zh-CN"/>
              </w:rPr>
              <w:t>。</w:t>
            </w:r>
          </w:p>
        </w:tc>
      </w:tr>
    </w:tbl>
    <w:p>
      <w:pPr>
        <w:pStyle w:val="2"/>
        <w:ind w:firstLine="560" w:firstLineChars="200"/>
        <w:rPr>
          <w:rFonts w:hint="default"/>
          <w:lang w:val="en-US" w:eastAsia="zh-CN"/>
        </w:rPr>
      </w:pPr>
      <w:r>
        <w:rPr>
          <w:rFonts w:hint="eastAsia" w:ascii="楷体" w:hAnsi="楷体" w:eastAsia="楷体"/>
          <w:sz w:val="28"/>
          <w:szCs w:val="28"/>
          <w:lang w:val="en-US" w:eastAsia="zh-CN"/>
        </w:rPr>
        <w:t>上述调整将于</w:t>
      </w:r>
      <w:r>
        <w:rPr>
          <w:rFonts w:hint="eastAsia" w:ascii="楷体" w:hAnsi="楷体" w:eastAsia="楷体"/>
          <w:sz w:val="28"/>
          <w:szCs w:val="28"/>
        </w:rPr>
        <w:t>202</w:t>
      </w:r>
      <w:r>
        <w:rPr>
          <w:rFonts w:hint="eastAsia" w:ascii="楷体" w:hAnsi="楷体" w:eastAsia="楷体"/>
          <w:sz w:val="28"/>
          <w:szCs w:val="28"/>
          <w:lang w:val="en-US" w:eastAsia="zh-CN"/>
        </w:rPr>
        <w:t>6</w:t>
      </w:r>
      <w:r>
        <w:rPr>
          <w:rFonts w:hint="eastAsia" w:ascii="楷体" w:hAnsi="楷体" w:eastAsia="楷体"/>
          <w:sz w:val="28"/>
          <w:szCs w:val="28"/>
        </w:rPr>
        <w:t>年</w:t>
      </w:r>
      <w:r>
        <w:rPr>
          <w:rFonts w:hint="eastAsia" w:ascii="楷体" w:hAnsi="楷体" w:eastAsia="楷体"/>
          <w:sz w:val="28"/>
          <w:szCs w:val="28"/>
          <w:lang w:val="en-US" w:eastAsia="zh-CN"/>
        </w:rPr>
        <w:t>1</w:t>
      </w:r>
      <w:r>
        <w:rPr>
          <w:rFonts w:hint="eastAsia" w:ascii="楷体" w:hAnsi="楷体" w:eastAsia="楷体"/>
          <w:sz w:val="28"/>
          <w:szCs w:val="28"/>
        </w:rPr>
        <w:t>月</w:t>
      </w:r>
      <w:r>
        <w:rPr>
          <w:rFonts w:hint="eastAsia" w:ascii="楷体" w:hAnsi="楷体" w:eastAsia="楷体"/>
          <w:sz w:val="28"/>
          <w:szCs w:val="28"/>
          <w:lang w:val="en-US" w:eastAsia="zh-CN"/>
        </w:rPr>
        <w:t>22日起生效，投资者如不接受本次公告所述调整，可于</w:t>
      </w:r>
      <w:r>
        <w:rPr>
          <w:rFonts w:hint="eastAsia" w:ascii="楷体" w:hAnsi="楷体" w:eastAsia="楷体"/>
          <w:sz w:val="28"/>
          <w:szCs w:val="28"/>
        </w:rPr>
        <w:t>202</w:t>
      </w:r>
      <w:r>
        <w:rPr>
          <w:rFonts w:hint="eastAsia" w:ascii="楷体" w:hAnsi="楷体" w:eastAsia="楷体"/>
          <w:sz w:val="28"/>
          <w:szCs w:val="28"/>
          <w:lang w:val="en-US" w:eastAsia="zh-CN"/>
        </w:rPr>
        <w:t>6</w:t>
      </w:r>
      <w:r>
        <w:rPr>
          <w:rFonts w:hint="eastAsia" w:ascii="楷体" w:hAnsi="楷体" w:eastAsia="楷体"/>
          <w:sz w:val="28"/>
          <w:szCs w:val="28"/>
        </w:rPr>
        <w:t>年</w:t>
      </w:r>
      <w:r>
        <w:rPr>
          <w:rFonts w:hint="eastAsia" w:ascii="楷体" w:hAnsi="楷体" w:eastAsia="楷体"/>
          <w:sz w:val="28"/>
          <w:szCs w:val="28"/>
          <w:lang w:val="en-US" w:eastAsia="zh-CN"/>
        </w:rPr>
        <w:t>1</w:t>
      </w:r>
      <w:r>
        <w:rPr>
          <w:rFonts w:hint="eastAsia" w:ascii="楷体" w:hAnsi="楷体" w:eastAsia="楷体"/>
          <w:sz w:val="28"/>
          <w:szCs w:val="28"/>
        </w:rPr>
        <w:t>月</w:t>
      </w:r>
      <w:r>
        <w:rPr>
          <w:rFonts w:hint="eastAsia" w:ascii="楷体" w:hAnsi="楷体" w:eastAsia="楷体"/>
          <w:sz w:val="28"/>
          <w:szCs w:val="28"/>
          <w:lang w:val="en-US" w:eastAsia="zh-CN"/>
        </w:rPr>
        <w:t>13日至</w:t>
      </w:r>
      <w:r>
        <w:rPr>
          <w:rFonts w:hint="eastAsia" w:ascii="楷体" w:hAnsi="楷体" w:eastAsia="楷体"/>
          <w:sz w:val="28"/>
          <w:szCs w:val="28"/>
        </w:rPr>
        <w:t>202</w:t>
      </w:r>
      <w:r>
        <w:rPr>
          <w:rFonts w:hint="eastAsia" w:ascii="楷体" w:hAnsi="楷体" w:eastAsia="楷体"/>
          <w:sz w:val="28"/>
          <w:szCs w:val="28"/>
          <w:lang w:val="en-US" w:eastAsia="zh-CN"/>
        </w:rPr>
        <w:t>6</w:t>
      </w:r>
      <w:r>
        <w:rPr>
          <w:rFonts w:hint="eastAsia" w:ascii="楷体" w:hAnsi="楷体" w:eastAsia="楷体"/>
          <w:sz w:val="28"/>
          <w:szCs w:val="28"/>
        </w:rPr>
        <w:t>年</w:t>
      </w:r>
      <w:r>
        <w:rPr>
          <w:rFonts w:hint="eastAsia" w:ascii="楷体" w:hAnsi="楷体" w:eastAsia="楷体"/>
          <w:sz w:val="28"/>
          <w:szCs w:val="28"/>
          <w:lang w:val="en-US" w:eastAsia="zh-CN"/>
        </w:rPr>
        <w:t>1</w:t>
      </w:r>
      <w:r>
        <w:rPr>
          <w:rFonts w:hint="eastAsia" w:ascii="楷体" w:hAnsi="楷体" w:eastAsia="楷体"/>
          <w:sz w:val="28"/>
          <w:szCs w:val="28"/>
        </w:rPr>
        <w:t>月</w:t>
      </w:r>
      <w:r>
        <w:rPr>
          <w:rFonts w:hint="eastAsia" w:ascii="楷体" w:hAnsi="楷体" w:eastAsia="楷体"/>
          <w:sz w:val="28"/>
          <w:szCs w:val="28"/>
          <w:lang w:val="en-US" w:eastAsia="zh-CN"/>
        </w:rPr>
        <w:t>21日产品开放期内提出赎回申请；若投资者逾期未提出赎回申请，则视为接受上述调整事项。</w:t>
      </w:r>
    </w:p>
    <w:p>
      <w:pPr>
        <w:spacing w:line="520" w:lineRule="exact"/>
        <w:ind w:firstLine="565" w:firstLineChars="202"/>
        <w:rPr>
          <w:rFonts w:hint="eastAsia" w:ascii="楷体" w:hAnsi="楷体" w:eastAsia="楷体"/>
          <w:sz w:val="28"/>
          <w:szCs w:val="28"/>
          <w:lang w:val="en-US" w:eastAsia="zh-CN"/>
        </w:rPr>
      </w:pPr>
      <w:r>
        <w:rPr>
          <w:rFonts w:hint="eastAsia" w:ascii="楷体" w:hAnsi="楷体" w:eastAsia="楷体"/>
          <w:sz w:val="28"/>
          <w:szCs w:val="28"/>
          <w:lang w:val="en-US" w:eastAsia="zh-CN"/>
        </w:rPr>
        <w:t>投资者可通过原理财产品合同约定的信息披露渠道查询更新后的理财产品合同。</w:t>
      </w:r>
    </w:p>
    <w:p>
      <w:pPr>
        <w:pStyle w:val="11"/>
        <w:spacing w:before="0" w:beforeAutospacing="0" w:after="0" w:afterAutospacing="0" w:line="480" w:lineRule="auto"/>
        <w:ind w:firstLine="560" w:firstLineChars="200"/>
        <w:rPr>
          <w:rFonts w:hint="eastAsia" w:ascii="楷体" w:hAnsi="楷体" w:eastAsia="楷体" w:cs="Times New Roman"/>
          <w:sz w:val="28"/>
          <w:szCs w:val="28"/>
        </w:rPr>
      </w:pPr>
      <w:r>
        <w:rPr>
          <w:rFonts w:hint="eastAsia" w:ascii="楷体" w:hAnsi="楷体" w:eastAsia="楷体" w:cs="Times New Roman"/>
          <w:sz w:val="28"/>
          <w:szCs w:val="28"/>
        </w:rPr>
        <w:t>特此报告。</w:t>
      </w:r>
    </w:p>
    <w:p>
      <w:pPr>
        <w:pStyle w:val="11"/>
        <w:spacing w:before="0" w:beforeAutospacing="0" w:after="0" w:afterAutospacing="0" w:line="480" w:lineRule="auto"/>
        <w:ind w:firstLine="560" w:firstLineChars="200"/>
        <w:rPr>
          <w:rFonts w:hint="eastAsia" w:ascii="楷体" w:hAnsi="楷体" w:eastAsia="楷体" w:cs="Times New Roman"/>
          <w:sz w:val="28"/>
          <w:szCs w:val="28"/>
        </w:rPr>
      </w:pPr>
      <w:r>
        <w:rPr>
          <w:rFonts w:hint="eastAsia" w:ascii="楷体" w:hAnsi="楷体" w:eastAsia="楷体" w:cs="Times New Roman"/>
          <w:sz w:val="28"/>
          <w:szCs w:val="28"/>
        </w:rPr>
        <w:t>感谢您投资苏银理财本期理财产品，敬请继续关注我司近期推出的其他理财产品。</w:t>
      </w:r>
    </w:p>
    <w:p>
      <w:pPr>
        <w:spacing w:line="520" w:lineRule="exact"/>
        <w:jc w:val="right"/>
        <w:rPr>
          <w:rFonts w:hint="eastAsia" w:ascii="楷体" w:hAnsi="楷体" w:eastAsia="楷体"/>
          <w:kern w:val="0"/>
          <w:sz w:val="28"/>
          <w:szCs w:val="28"/>
        </w:rPr>
      </w:pPr>
      <w:r>
        <w:rPr>
          <w:rFonts w:hint="eastAsia" w:ascii="楷体" w:hAnsi="楷体" w:eastAsia="楷体"/>
          <w:kern w:val="0"/>
          <w:sz w:val="28"/>
          <w:szCs w:val="28"/>
        </w:rPr>
        <w:t>苏银理财有限责任公司</w:t>
      </w:r>
    </w:p>
    <w:p>
      <w:pPr>
        <w:spacing w:line="520" w:lineRule="exact"/>
        <w:jc w:val="right"/>
        <w:rPr>
          <w:rFonts w:hint="eastAsia" w:ascii="楷体" w:hAnsi="楷体" w:eastAsia="楷体"/>
          <w:kern w:val="0"/>
          <w:sz w:val="24"/>
          <w:szCs w:val="24"/>
        </w:rPr>
      </w:pPr>
      <w:r>
        <w:rPr>
          <w:rFonts w:hint="eastAsia" w:ascii="楷体" w:hAnsi="楷体" w:eastAsia="楷体"/>
          <w:kern w:val="0"/>
          <w:sz w:val="28"/>
          <w:szCs w:val="28"/>
        </w:rPr>
        <w:t>202</w:t>
      </w:r>
      <w:r>
        <w:rPr>
          <w:rFonts w:hint="eastAsia" w:ascii="楷体" w:hAnsi="楷体" w:eastAsia="楷体"/>
          <w:kern w:val="0"/>
          <w:sz w:val="28"/>
          <w:szCs w:val="28"/>
          <w:lang w:val="en-US" w:eastAsia="zh-CN"/>
        </w:rPr>
        <w:t>6</w:t>
      </w:r>
      <w:r>
        <w:rPr>
          <w:rFonts w:hint="eastAsia" w:ascii="楷体" w:hAnsi="楷体" w:eastAsia="楷体"/>
          <w:kern w:val="0"/>
          <w:sz w:val="28"/>
          <w:szCs w:val="28"/>
        </w:rPr>
        <w:t>年</w:t>
      </w:r>
      <w:r>
        <w:rPr>
          <w:rFonts w:hint="eastAsia" w:ascii="楷体" w:hAnsi="楷体" w:eastAsia="楷体"/>
          <w:kern w:val="0"/>
          <w:sz w:val="28"/>
          <w:szCs w:val="28"/>
          <w:lang w:val="en-US" w:eastAsia="zh-CN"/>
        </w:rPr>
        <w:t>1</w:t>
      </w:r>
      <w:r>
        <w:rPr>
          <w:rFonts w:hint="eastAsia" w:ascii="楷体" w:hAnsi="楷体" w:eastAsia="楷体"/>
          <w:kern w:val="0"/>
          <w:sz w:val="28"/>
          <w:szCs w:val="28"/>
        </w:rPr>
        <w:t>月</w:t>
      </w:r>
      <w:r>
        <w:rPr>
          <w:rFonts w:hint="eastAsia" w:ascii="楷体" w:hAnsi="楷体" w:eastAsia="楷体"/>
          <w:kern w:val="0"/>
          <w:sz w:val="28"/>
          <w:szCs w:val="28"/>
          <w:lang w:val="en-US" w:eastAsia="zh-CN"/>
        </w:rPr>
        <w:t>5</w:t>
      </w:r>
      <w:bookmarkStart w:id="0" w:name="_GoBack"/>
      <w:bookmarkEnd w:id="0"/>
      <w:r>
        <w:rPr>
          <w:rFonts w:hint="eastAsia" w:ascii="楷体" w:hAnsi="楷体" w:eastAsia="楷体"/>
          <w:kern w:val="0"/>
          <w:sz w:val="28"/>
          <w:szCs w:val="28"/>
        </w:rPr>
        <w:t>日</w:t>
      </w:r>
    </w:p>
    <w:p>
      <w:pPr>
        <w:spacing w:line="520" w:lineRule="exact"/>
        <w:rPr>
          <w:rFonts w:hint="eastAsia"/>
        </w:rPr>
      </w:pPr>
    </w:p>
    <w:p>
      <w:pPr>
        <w:spacing w:line="520" w:lineRule="exact"/>
        <w:rPr>
          <w:rFonts w:hint="eastAsia"/>
        </w:rPr>
      </w:pPr>
    </w:p>
    <w:p>
      <w:pPr>
        <w:spacing w:line="520" w:lineRule="exact"/>
        <w:rPr>
          <w:rFonts w:hint="eastAsia" w:ascii="楷体" w:hAnsi="楷体" w:eastAsia="楷体" w:cs="楷体"/>
        </w:rPr>
      </w:pPr>
      <w:r>
        <w:rPr>
          <w:rFonts w:hint="eastAsia" w:ascii="楷体" w:hAnsi="楷体" w:eastAsia="楷体" w:cs="楷体"/>
        </w:rPr>
        <w:t>备注：本次披露内容解释权归苏银理财所有，不构成任何形式的法律要约或承诺。</w:t>
      </w:r>
    </w:p>
    <w:p>
      <w:pPr>
        <w:spacing w:line="520" w:lineRule="exact"/>
      </w:pPr>
    </w:p>
    <w:sectPr>
      <w:headerReference r:id="rId5" w:type="first"/>
      <w:headerReference r:id="rId3" w:type="default"/>
      <w:footerReference r:id="rId6" w:type="default"/>
      <w:headerReference r:id="rId4" w:type="even"/>
      <w:pgSz w:w="11906" w:h="16838"/>
      <w:pgMar w:top="1440" w:right="1800" w:bottom="1440" w:left="170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lang w:val="zh-CN"/>
      </w:rPr>
      <w:t xml:space="preserve"> </w:t>
    </w:r>
    <w:r>
      <w:rPr>
        <w:b/>
        <w:bCs/>
        <w:sz w:val="24"/>
        <w:szCs w:val="24"/>
      </w:rPr>
      <w:fldChar w:fldCharType="begin"/>
    </w:r>
    <w:r>
      <w:rPr>
        <w:b/>
        <w:bCs/>
      </w:rPr>
      <w:instrText xml:space="preserve">PAGE</w:instrText>
    </w:r>
    <w:r>
      <w:rPr>
        <w:b/>
        <w:bCs/>
        <w:sz w:val="24"/>
        <w:szCs w:val="24"/>
      </w:rPr>
      <w:fldChar w:fldCharType="separate"/>
    </w:r>
    <w:r>
      <w:rPr>
        <w:b/>
        <w:bCs/>
      </w:rPr>
      <w:t>1</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1</w:t>
    </w:r>
    <w:r>
      <w:rPr>
        <w:b/>
        <w:bCs/>
        <w:sz w:val="24"/>
        <w:szCs w:val="24"/>
      </w:rPr>
      <w:fldChar w:fldCharType="end"/>
    </w:r>
  </w:p>
  <w:p>
    <w:pPr>
      <w:pStyle w:val="9"/>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kinsoku w:val="0"/>
      <w:overflowPunct w:val="0"/>
      <w:spacing w:before="0" w:line="320" w:lineRule="exact"/>
      <w:ind w:left="20"/>
      <w:jc w:val="both"/>
      <w:rPr>
        <w:rFonts w:ascii="楷体" w:hAnsi="楷体" w:eastAsia="楷体" w:cs="黑体"/>
        <w:b/>
        <w:spacing w:val="-2"/>
        <w:sz w:val="24"/>
        <w:szCs w:val="24"/>
      </w:rPr>
    </w:pPr>
    <w:r>
      <w:rPr>
        <w:rFonts w:ascii="楷体" w:hAnsi="楷体" w:eastAsia="楷体"/>
        <w:b/>
      </w:rPr>
      <w:drawing>
        <wp:anchor distT="0" distB="0" distL="114300" distR="114300" simplePos="0" relativeHeight="251661312" behindDoc="1" locked="0" layoutInCell="0" allowOverlap="1">
          <wp:simplePos x="0" y="0"/>
          <wp:positionH relativeFrom="margin">
            <wp:align>center</wp:align>
          </wp:positionH>
          <wp:positionV relativeFrom="margin">
            <wp:align>center</wp:align>
          </wp:positionV>
          <wp:extent cx="14444345" cy="10958195"/>
          <wp:effectExtent l="0" t="0" r="14605" b="14605"/>
          <wp:wrapNone/>
          <wp:docPr id="3" name="WordPictureWatermark367128483" descr="苏银理财"/>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367128483" descr="苏银理财"/>
                  <pic:cNvPicPr>
                    <a:picLocks noChangeAspect="1"/>
                  </pic:cNvPicPr>
                </pic:nvPicPr>
                <pic:blipFill>
                  <a:blip r:embed="rId1">
                    <a:lum bright="70001" contrast="-70000"/>
                  </a:blip>
                  <a:stretch>
                    <a:fillRect/>
                  </a:stretch>
                </pic:blipFill>
                <pic:spPr>
                  <a:xfrm>
                    <a:off x="0" y="0"/>
                    <a:ext cx="14444345" cy="10958195"/>
                  </a:xfrm>
                  <a:prstGeom prst="rect">
                    <a:avLst/>
                  </a:prstGeom>
                  <a:noFill/>
                  <a:ln>
                    <a:noFill/>
                  </a:ln>
                </pic:spPr>
              </pic:pic>
            </a:graphicData>
          </a:graphic>
        </wp:anchor>
      </w:drawing>
    </w:r>
    <w:r>
      <w:drawing>
        <wp:anchor distT="0" distB="0" distL="114300" distR="114300" simplePos="0" relativeHeight="251662336" behindDoc="0" locked="0" layoutInCell="1" allowOverlap="1">
          <wp:simplePos x="0" y="0"/>
          <wp:positionH relativeFrom="column">
            <wp:posOffset>3923665</wp:posOffset>
          </wp:positionH>
          <wp:positionV relativeFrom="paragraph">
            <wp:posOffset>-95250</wp:posOffset>
          </wp:positionV>
          <wp:extent cx="1325245" cy="424815"/>
          <wp:effectExtent l="0" t="0" r="8255" b="13335"/>
          <wp:wrapSquare wrapText="bothSides"/>
          <wp:docPr id="4" name="图片 1" descr="说明: 说明: C:\Users\JSYH\Desktop\苏银理财.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1" descr="说明: 说明: C:\Users\JSYH\Desktop\苏银理财.png"/>
                  <pic:cNvPicPr>
                    <a:picLocks noChangeAspect="1"/>
                  </pic:cNvPicPr>
                </pic:nvPicPr>
                <pic:blipFill>
                  <a:blip r:embed="rId2"/>
                  <a:stretch>
                    <a:fillRect/>
                  </a:stretch>
                </pic:blipFill>
                <pic:spPr>
                  <a:xfrm>
                    <a:off x="0" y="0"/>
                    <a:ext cx="1325245" cy="424815"/>
                  </a:xfrm>
                  <a:prstGeom prst="rect">
                    <a:avLst/>
                  </a:prstGeom>
                  <a:noFill/>
                  <a:ln>
                    <a:noFill/>
                  </a:ln>
                </pic:spPr>
              </pic:pic>
            </a:graphicData>
          </a:graphic>
        </wp:anchor>
      </w:drawing>
    </w:r>
    <w:r>
      <w:rPr>
        <w:rFonts w:hint="eastAsia" w:ascii="楷体" w:hAnsi="楷体" w:eastAsia="楷体" w:cs="黑体"/>
        <w:b/>
        <w:bCs/>
        <w:spacing w:val="-2"/>
        <w:sz w:val="24"/>
        <w:szCs w:val="24"/>
      </w:rPr>
      <w:t>理财非存款、产品有风险、投资须谨慎</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r>
      <w:drawing>
        <wp:anchor distT="0" distB="0" distL="114300" distR="114300" simplePos="0" relativeHeight="251660288" behindDoc="1" locked="0" layoutInCell="0" allowOverlap="1">
          <wp:simplePos x="0" y="0"/>
          <wp:positionH relativeFrom="margin">
            <wp:align>center</wp:align>
          </wp:positionH>
          <wp:positionV relativeFrom="margin">
            <wp:align>center</wp:align>
          </wp:positionV>
          <wp:extent cx="14444345" cy="10958195"/>
          <wp:effectExtent l="0" t="0" r="14605" b="14605"/>
          <wp:wrapNone/>
          <wp:docPr id="2" name="WordPictureWatermark367128482" descr="苏银理财"/>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ordPictureWatermark367128482" descr="苏银理财"/>
                  <pic:cNvPicPr>
                    <a:picLocks noChangeAspect="1"/>
                  </pic:cNvPicPr>
                </pic:nvPicPr>
                <pic:blipFill>
                  <a:blip r:embed="rId1">
                    <a:lum bright="70001" contrast="-70000"/>
                  </a:blip>
                  <a:stretch>
                    <a:fillRect/>
                  </a:stretch>
                </pic:blipFill>
                <pic:spPr>
                  <a:xfrm>
                    <a:off x="0" y="0"/>
                    <a:ext cx="14444345" cy="10958195"/>
                  </a:xfrm>
                  <a:prstGeom prst="rect">
                    <a:avLst/>
                  </a:prstGeom>
                  <a:noFill/>
                  <a:ln>
                    <a:noFill/>
                  </a:ln>
                </pic:spPr>
              </pic:pic>
            </a:graphicData>
          </a:graphic>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r>
      <w:drawing>
        <wp:anchor distT="0" distB="0" distL="114300" distR="114300" simplePos="0" relativeHeight="251659264" behindDoc="1" locked="0" layoutInCell="0" allowOverlap="1">
          <wp:simplePos x="0" y="0"/>
          <wp:positionH relativeFrom="margin">
            <wp:align>center</wp:align>
          </wp:positionH>
          <wp:positionV relativeFrom="margin">
            <wp:align>center</wp:align>
          </wp:positionV>
          <wp:extent cx="14444345" cy="10958195"/>
          <wp:effectExtent l="0" t="0" r="14605" b="14605"/>
          <wp:wrapNone/>
          <wp:docPr id="1" name="WordPictureWatermark367128481" descr="苏银理财"/>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ordPictureWatermark367128481" descr="苏银理财"/>
                  <pic:cNvPicPr>
                    <a:picLocks noChangeAspect="1"/>
                  </pic:cNvPicPr>
                </pic:nvPicPr>
                <pic:blipFill>
                  <a:blip r:embed="rId1">
                    <a:lum bright="70001" contrast="-70000"/>
                  </a:blip>
                  <a:stretch>
                    <a:fillRect/>
                  </a:stretch>
                </pic:blipFill>
                <pic:spPr>
                  <a:xfrm>
                    <a:off x="0" y="0"/>
                    <a:ext cx="14444345" cy="10958195"/>
                  </a:xfrm>
                  <a:prstGeom prst="rect">
                    <a:avLst/>
                  </a:prstGeom>
                  <a:noFill/>
                  <a:ln>
                    <a:noFill/>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1EADA4"/>
    <w:multiLevelType w:val="singleLevel"/>
    <w:tmpl w:val="001EADA4"/>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23F7"/>
    <w:rsid w:val="00001531"/>
    <w:rsid w:val="0000191C"/>
    <w:rsid w:val="00001E2F"/>
    <w:rsid w:val="00002389"/>
    <w:rsid w:val="00003606"/>
    <w:rsid w:val="000048B0"/>
    <w:rsid w:val="00005B01"/>
    <w:rsid w:val="000101E4"/>
    <w:rsid w:val="0001103A"/>
    <w:rsid w:val="000131EF"/>
    <w:rsid w:val="00013628"/>
    <w:rsid w:val="00014334"/>
    <w:rsid w:val="000158A7"/>
    <w:rsid w:val="00015A92"/>
    <w:rsid w:val="00015D58"/>
    <w:rsid w:val="00016232"/>
    <w:rsid w:val="0002052D"/>
    <w:rsid w:val="00020A6F"/>
    <w:rsid w:val="00021007"/>
    <w:rsid w:val="00023BA8"/>
    <w:rsid w:val="000247F9"/>
    <w:rsid w:val="00024C7F"/>
    <w:rsid w:val="000263ED"/>
    <w:rsid w:val="00027E61"/>
    <w:rsid w:val="00027F48"/>
    <w:rsid w:val="0003072E"/>
    <w:rsid w:val="00030D69"/>
    <w:rsid w:val="00031806"/>
    <w:rsid w:val="00031F80"/>
    <w:rsid w:val="00034890"/>
    <w:rsid w:val="000375C2"/>
    <w:rsid w:val="000405B1"/>
    <w:rsid w:val="00043555"/>
    <w:rsid w:val="00043D5F"/>
    <w:rsid w:val="000469D0"/>
    <w:rsid w:val="00046AAA"/>
    <w:rsid w:val="0004768E"/>
    <w:rsid w:val="00050975"/>
    <w:rsid w:val="00051DB3"/>
    <w:rsid w:val="00054854"/>
    <w:rsid w:val="00057B16"/>
    <w:rsid w:val="00060571"/>
    <w:rsid w:val="00061D74"/>
    <w:rsid w:val="00062791"/>
    <w:rsid w:val="00064F2B"/>
    <w:rsid w:val="00066F56"/>
    <w:rsid w:val="000677EE"/>
    <w:rsid w:val="00070563"/>
    <w:rsid w:val="00071418"/>
    <w:rsid w:val="00071581"/>
    <w:rsid w:val="0007293A"/>
    <w:rsid w:val="00072D1F"/>
    <w:rsid w:val="0007366C"/>
    <w:rsid w:val="00074189"/>
    <w:rsid w:val="00074306"/>
    <w:rsid w:val="000757BB"/>
    <w:rsid w:val="00080C2C"/>
    <w:rsid w:val="00081AD6"/>
    <w:rsid w:val="000853F6"/>
    <w:rsid w:val="000867A8"/>
    <w:rsid w:val="00087036"/>
    <w:rsid w:val="00087EDB"/>
    <w:rsid w:val="00091208"/>
    <w:rsid w:val="00093C11"/>
    <w:rsid w:val="00094631"/>
    <w:rsid w:val="00096382"/>
    <w:rsid w:val="0009795C"/>
    <w:rsid w:val="00097F80"/>
    <w:rsid w:val="000A2D2D"/>
    <w:rsid w:val="000A2E68"/>
    <w:rsid w:val="000A45AB"/>
    <w:rsid w:val="000B0078"/>
    <w:rsid w:val="000B0690"/>
    <w:rsid w:val="000B0E85"/>
    <w:rsid w:val="000B382A"/>
    <w:rsid w:val="000B3B58"/>
    <w:rsid w:val="000B3EFD"/>
    <w:rsid w:val="000B659B"/>
    <w:rsid w:val="000B6E9F"/>
    <w:rsid w:val="000B7D78"/>
    <w:rsid w:val="000C3DB1"/>
    <w:rsid w:val="000C54ED"/>
    <w:rsid w:val="000C5C02"/>
    <w:rsid w:val="000C6143"/>
    <w:rsid w:val="000C7382"/>
    <w:rsid w:val="000D35BD"/>
    <w:rsid w:val="000D71CF"/>
    <w:rsid w:val="000D7225"/>
    <w:rsid w:val="000D722C"/>
    <w:rsid w:val="000E0485"/>
    <w:rsid w:val="000E1951"/>
    <w:rsid w:val="000E2E7D"/>
    <w:rsid w:val="000E34F3"/>
    <w:rsid w:val="000E4205"/>
    <w:rsid w:val="000E7579"/>
    <w:rsid w:val="000E7CF6"/>
    <w:rsid w:val="000F0433"/>
    <w:rsid w:val="000F1D3C"/>
    <w:rsid w:val="000F362A"/>
    <w:rsid w:val="000F3D5D"/>
    <w:rsid w:val="000F4243"/>
    <w:rsid w:val="000F4ABF"/>
    <w:rsid w:val="000F5B66"/>
    <w:rsid w:val="000F5FF6"/>
    <w:rsid w:val="000F65C5"/>
    <w:rsid w:val="000F7056"/>
    <w:rsid w:val="000F7D2C"/>
    <w:rsid w:val="00100F0C"/>
    <w:rsid w:val="001025A3"/>
    <w:rsid w:val="001036A0"/>
    <w:rsid w:val="0010457E"/>
    <w:rsid w:val="001065F5"/>
    <w:rsid w:val="00110417"/>
    <w:rsid w:val="00111E3E"/>
    <w:rsid w:val="001126F6"/>
    <w:rsid w:val="00112F03"/>
    <w:rsid w:val="00115E7F"/>
    <w:rsid w:val="0011696D"/>
    <w:rsid w:val="00121681"/>
    <w:rsid w:val="00122F58"/>
    <w:rsid w:val="0012352A"/>
    <w:rsid w:val="00123BCB"/>
    <w:rsid w:val="0012411A"/>
    <w:rsid w:val="001242DE"/>
    <w:rsid w:val="00124C00"/>
    <w:rsid w:val="00125B8C"/>
    <w:rsid w:val="0012647A"/>
    <w:rsid w:val="001303B2"/>
    <w:rsid w:val="00130EED"/>
    <w:rsid w:val="00130F7B"/>
    <w:rsid w:val="00131F1B"/>
    <w:rsid w:val="0013364F"/>
    <w:rsid w:val="00133AAF"/>
    <w:rsid w:val="00133B98"/>
    <w:rsid w:val="0013472F"/>
    <w:rsid w:val="00134733"/>
    <w:rsid w:val="001359ED"/>
    <w:rsid w:val="00137395"/>
    <w:rsid w:val="00140B25"/>
    <w:rsid w:val="001450DF"/>
    <w:rsid w:val="0014734D"/>
    <w:rsid w:val="00151CC7"/>
    <w:rsid w:val="00152B36"/>
    <w:rsid w:val="00153081"/>
    <w:rsid w:val="001530B2"/>
    <w:rsid w:val="001543E7"/>
    <w:rsid w:val="00155B77"/>
    <w:rsid w:val="00160569"/>
    <w:rsid w:val="00161E2F"/>
    <w:rsid w:val="001624A3"/>
    <w:rsid w:val="001624DA"/>
    <w:rsid w:val="00162BF5"/>
    <w:rsid w:val="00165E23"/>
    <w:rsid w:val="00166B3A"/>
    <w:rsid w:val="00170099"/>
    <w:rsid w:val="00170194"/>
    <w:rsid w:val="00170927"/>
    <w:rsid w:val="0017092A"/>
    <w:rsid w:val="00170A6E"/>
    <w:rsid w:val="00172B90"/>
    <w:rsid w:val="00173A2B"/>
    <w:rsid w:val="00173CE1"/>
    <w:rsid w:val="00174417"/>
    <w:rsid w:val="001749CF"/>
    <w:rsid w:val="00176B8E"/>
    <w:rsid w:val="001770F3"/>
    <w:rsid w:val="00177BCC"/>
    <w:rsid w:val="0018251A"/>
    <w:rsid w:val="001846FB"/>
    <w:rsid w:val="00194E69"/>
    <w:rsid w:val="00195FF0"/>
    <w:rsid w:val="00197DD9"/>
    <w:rsid w:val="001A05F5"/>
    <w:rsid w:val="001A1C12"/>
    <w:rsid w:val="001A57DB"/>
    <w:rsid w:val="001A586B"/>
    <w:rsid w:val="001A73F1"/>
    <w:rsid w:val="001B1D26"/>
    <w:rsid w:val="001B1E1E"/>
    <w:rsid w:val="001B2F76"/>
    <w:rsid w:val="001B2F82"/>
    <w:rsid w:val="001B396B"/>
    <w:rsid w:val="001B4B9C"/>
    <w:rsid w:val="001B72EB"/>
    <w:rsid w:val="001B7D0D"/>
    <w:rsid w:val="001C13E9"/>
    <w:rsid w:val="001C4148"/>
    <w:rsid w:val="001C78FF"/>
    <w:rsid w:val="001D0B29"/>
    <w:rsid w:val="001D1C27"/>
    <w:rsid w:val="001D2A8B"/>
    <w:rsid w:val="001D48EE"/>
    <w:rsid w:val="001D49AC"/>
    <w:rsid w:val="001D4BC9"/>
    <w:rsid w:val="001D4FE1"/>
    <w:rsid w:val="001D78FF"/>
    <w:rsid w:val="001E0062"/>
    <w:rsid w:val="001E0387"/>
    <w:rsid w:val="001E223F"/>
    <w:rsid w:val="001E4374"/>
    <w:rsid w:val="001E4A82"/>
    <w:rsid w:val="001E4C0D"/>
    <w:rsid w:val="001E4E95"/>
    <w:rsid w:val="001E623C"/>
    <w:rsid w:val="001E631F"/>
    <w:rsid w:val="001F0A69"/>
    <w:rsid w:val="001F1728"/>
    <w:rsid w:val="001F2658"/>
    <w:rsid w:val="001F3AD6"/>
    <w:rsid w:val="001F3CCB"/>
    <w:rsid w:val="001F63BD"/>
    <w:rsid w:val="001F6775"/>
    <w:rsid w:val="001F69BF"/>
    <w:rsid w:val="00200449"/>
    <w:rsid w:val="00200DF8"/>
    <w:rsid w:val="0020123C"/>
    <w:rsid w:val="0020196F"/>
    <w:rsid w:val="002024E9"/>
    <w:rsid w:val="0020639A"/>
    <w:rsid w:val="00206636"/>
    <w:rsid w:val="00210857"/>
    <w:rsid w:val="002119A2"/>
    <w:rsid w:val="00213632"/>
    <w:rsid w:val="00215F66"/>
    <w:rsid w:val="00216C87"/>
    <w:rsid w:val="0022162D"/>
    <w:rsid w:val="002222A4"/>
    <w:rsid w:val="0022633B"/>
    <w:rsid w:val="00226F9D"/>
    <w:rsid w:val="00230F4A"/>
    <w:rsid w:val="00231B08"/>
    <w:rsid w:val="00232A54"/>
    <w:rsid w:val="0023376E"/>
    <w:rsid w:val="0023523A"/>
    <w:rsid w:val="00235E45"/>
    <w:rsid w:val="002366EB"/>
    <w:rsid w:val="002379DD"/>
    <w:rsid w:val="00237FDB"/>
    <w:rsid w:val="0024053C"/>
    <w:rsid w:val="002436C1"/>
    <w:rsid w:val="00243DF5"/>
    <w:rsid w:val="00245106"/>
    <w:rsid w:val="00245D03"/>
    <w:rsid w:val="0024748B"/>
    <w:rsid w:val="00247A7D"/>
    <w:rsid w:val="0025150E"/>
    <w:rsid w:val="00252B51"/>
    <w:rsid w:val="00253997"/>
    <w:rsid w:val="0025423C"/>
    <w:rsid w:val="00254A3C"/>
    <w:rsid w:val="00254A8B"/>
    <w:rsid w:val="00256E57"/>
    <w:rsid w:val="0025744E"/>
    <w:rsid w:val="002579CC"/>
    <w:rsid w:val="0026641B"/>
    <w:rsid w:val="002672C8"/>
    <w:rsid w:val="00270665"/>
    <w:rsid w:val="00272C53"/>
    <w:rsid w:val="00272E20"/>
    <w:rsid w:val="00273681"/>
    <w:rsid w:val="0027409E"/>
    <w:rsid w:val="00274FAF"/>
    <w:rsid w:val="0027510A"/>
    <w:rsid w:val="002765F4"/>
    <w:rsid w:val="00276883"/>
    <w:rsid w:val="00277C1F"/>
    <w:rsid w:val="002821D7"/>
    <w:rsid w:val="00282F20"/>
    <w:rsid w:val="0029004F"/>
    <w:rsid w:val="00291B84"/>
    <w:rsid w:val="00292B19"/>
    <w:rsid w:val="00292B5E"/>
    <w:rsid w:val="002932FC"/>
    <w:rsid w:val="00294431"/>
    <w:rsid w:val="00294B49"/>
    <w:rsid w:val="00295538"/>
    <w:rsid w:val="00297034"/>
    <w:rsid w:val="002A046A"/>
    <w:rsid w:val="002A237A"/>
    <w:rsid w:val="002A23E0"/>
    <w:rsid w:val="002A2E20"/>
    <w:rsid w:val="002A32DF"/>
    <w:rsid w:val="002A6980"/>
    <w:rsid w:val="002A7DF5"/>
    <w:rsid w:val="002A7E94"/>
    <w:rsid w:val="002B0795"/>
    <w:rsid w:val="002B2620"/>
    <w:rsid w:val="002B3225"/>
    <w:rsid w:val="002B5694"/>
    <w:rsid w:val="002B6C82"/>
    <w:rsid w:val="002C021F"/>
    <w:rsid w:val="002C2056"/>
    <w:rsid w:val="002C222A"/>
    <w:rsid w:val="002C23F7"/>
    <w:rsid w:val="002C3367"/>
    <w:rsid w:val="002C7117"/>
    <w:rsid w:val="002C7CB4"/>
    <w:rsid w:val="002D0706"/>
    <w:rsid w:val="002D29FD"/>
    <w:rsid w:val="002D2AEC"/>
    <w:rsid w:val="002D2C1F"/>
    <w:rsid w:val="002D4FE3"/>
    <w:rsid w:val="002D600D"/>
    <w:rsid w:val="002E1382"/>
    <w:rsid w:val="002E6F55"/>
    <w:rsid w:val="002F0E4E"/>
    <w:rsid w:val="002F24A1"/>
    <w:rsid w:val="002F344B"/>
    <w:rsid w:val="002F41A5"/>
    <w:rsid w:val="002F709A"/>
    <w:rsid w:val="002F77A8"/>
    <w:rsid w:val="00301619"/>
    <w:rsid w:val="00301AD3"/>
    <w:rsid w:val="00301E80"/>
    <w:rsid w:val="00302755"/>
    <w:rsid w:val="00303147"/>
    <w:rsid w:val="00304D18"/>
    <w:rsid w:val="00305A15"/>
    <w:rsid w:val="00306353"/>
    <w:rsid w:val="00306D41"/>
    <w:rsid w:val="00307094"/>
    <w:rsid w:val="00307342"/>
    <w:rsid w:val="00310A72"/>
    <w:rsid w:val="00311C18"/>
    <w:rsid w:val="0031298C"/>
    <w:rsid w:val="00313D52"/>
    <w:rsid w:val="00314235"/>
    <w:rsid w:val="0031453A"/>
    <w:rsid w:val="003222FC"/>
    <w:rsid w:val="00325D85"/>
    <w:rsid w:val="0032607C"/>
    <w:rsid w:val="00326E7B"/>
    <w:rsid w:val="0033166C"/>
    <w:rsid w:val="0033358A"/>
    <w:rsid w:val="00333937"/>
    <w:rsid w:val="003342B8"/>
    <w:rsid w:val="0033504B"/>
    <w:rsid w:val="003362C7"/>
    <w:rsid w:val="00336A5A"/>
    <w:rsid w:val="00337AA0"/>
    <w:rsid w:val="00342ADB"/>
    <w:rsid w:val="00343B0F"/>
    <w:rsid w:val="00347006"/>
    <w:rsid w:val="00347D0D"/>
    <w:rsid w:val="003503AE"/>
    <w:rsid w:val="00351D8C"/>
    <w:rsid w:val="0035213A"/>
    <w:rsid w:val="00353419"/>
    <w:rsid w:val="00355D35"/>
    <w:rsid w:val="00356BEA"/>
    <w:rsid w:val="00360094"/>
    <w:rsid w:val="003627FB"/>
    <w:rsid w:val="00362826"/>
    <w:rsid w:val="00363EEF"/>
    <w:rsid w:val="0036403D"/>
    <w:rsid w:val="0036455C"/>
    <w:rsid w:val="00364ED6"/>
    <w:rsid w:val="003656BF"/>
    <w:rsid w:val="00366074"/>
    <w:rsid w:val="00367122"/>
    <w:rsid w:val="0037083D"/>
    <w:rsid w:val="00372402"/>
    <w:rsid w:val="003724FE"/>
    <w:rsid w:val="003726C4"/>
    <w:rsid w:val="003732C5"/>
    <w:rsid w:val="00374086"/>
    <w:rsid w:val="00375BEB"/>
    <w:rsid w:val="003800B4"/>
    <w:rsid w:val="003809E0"/>
    <w:rsid w:val="003814E2"/>
    <w:rsid w:val="00381E88"/>
    <w:rsid w:val="003821F9"/>
    <w:rsid w:val="003827CD"/>
    <w:rsid w:val="00383A99"/>
    <w:rsid w:val="00383D6D"/>
    <w:rsid w:val="003852EF"/>
    <w:rsid w:val="003870EE"/>
    <w:rsid w:val="00393452"/>
    <w:rsid w:val="00394C2C"/>
    <w:rsid w:val="00395441"/>
    <w:rsid w:val="00396F85"/>
    <w:rsid w:val="0039723A"/>
    <w:rsid w:val="003A1CB9"/>
    <w:rsid w:val="003A27B8"/>
    <w:rsid w:val="003A3D8C"/>
    <w:rsid w:val="003A48E3"/>
    <w:rsid w:val="003A539D"/>
    <w:rsid w:val="003A5FA1"/>
    <w:rsid w:val="003A7623"/>
    <w:rsid w:val="003B1725"/>
    <w:rsid w:val="003B242C"/>
    <w:rsid w:val="003B324C"/>
    <w:rsid w:val="003B4D64"/>
    <w:rsid w:val="003B5DFB"/>
    <w:rsid w:val="003B6220"/>
    <w:rsid w:val="003B76DC"/>
    <w:rsid w:val="003C1E93"/>
    <w:rsid w:val="003C2161"/>
    <w:rsid w:val="003C596C"/>
    <w:rsid w:val="003C6765"/>
    <w:rsid w:val="003D03AF"/>
    <w:rsid w:val="003D07CA"/>
    <w:rsid w:val="003D1FE5"/>
    <w:rsid w:val="003D3735"/>
    <w:rsid w:val="003D5148"/>
    <w:rsid w:val="003D5CDF"/>
    <w:rsid w:val="003D6081"/>
    <w:rsid w:val="003D6720"/>
    <w:rsid w:val="003D6B3F"/>
    <w:rsid w:val="003D7951"/>
    <w:rsid w:val="003E030F"/>
    <w:rsid w:val="003E1EFB"/>
    <w:rsid w:val="003E2B26"/>
    <w:rsid w:val="003E4299"/>
    <w:rsid w:val="003E6D92"/>
    <w:rsid w:val="003E70B9"/>
    <w:rsid w:val="003E7812"/>
    <w:rsid w:val="003F2136"/>
    <w:rsid w:val="003F277A"/>
    <w:rsid w:val="003F29B2"/>
    <w:rsid w:val="003F31E6"/>
    <w:rsid w:val="003F40F9"/>
    <w:rsid w:val="003F4C40"/>
    <w:rsid w:val="003F52FE"/>
    <w:rsid w:val="003F580D"/>
    <w:rsid w:val="003F61D7"/>
    <w:rsid w:val="00401F3A"/>
    <w:rsid w:val="0040272E"/>
    <w:rsid w:val="00402EA0"/>
    <w:rsid w:val="00403497"/>
    <w:rsid w:val="004041C9"/>
    <w:rsid w:val="00407810"/>
    <w:rsid w:val="004079CC"/>
    <w:rsid w:val="004106A7"/>
    <w:rsid w:val="00410F85"/>
    <w:rsid w:val="00412823"/>
    <w:rsid w:val="0041382E"/>
    <w:rsid w:val="00413D00"/>
    <w:rsid w:val="00414410"/>
    <w:rsid w:val="00414992"/>
    <w:rsid w:val="00416ED0"/>
    <w:rsid w:val="004175B0"/>
    <w:rsid w:val="00421C9B"/>
    <w:rsid w:val="00422D31"/>
    <w:rsid w:val="00426041"/>
    <w:rsid w:val="00426CBC"/>
    <w:rsid w:val="00427CC0"/>
    <w:rsid w:val="0043002F"/>
    <w:rsid w:val="004303B3"/>
    <w:rsid w:val="00430927"/>
    <w:rsid w:val="0043308A"/>
    <w:rsid w:val="00433113"/>
    <w:rsid w:val="00433DCD"/>
    <w:rsid w:val="00434262"/>
    <w:rsid w:val="0043673C"/>
    <w:rsid w:val="00436801"/>
    <w:rsid w:val="00437DA0"/>
    <w:rsid w:val="004412CE"/>
    <w:rsid w:val="00442603"/>
    <w:rsid w:val="00444898"/>
    <w:rsid w:val="00445E88"/>
    <w:rsid w:val="004509F6"/>
    <w:rsid w:val="00453254"/>
    <w:rsid w:val="0045366F"/>
    <w:rsid w:val="00453F4D"/>
    <w:rsid w:val="00455D49"/>
    <w:rsid w:val="00455DF1"/>
    <w:rsid w:val="00456A0F"/>
    <w:rsid w:val="00456C53"/>
    <w:rsid w:val="00460F22"/>
    <w:rsid w:val="0046446A"/>
    <w:rsid w:val="004645D0"/>
    <w:rsid w:val="00464A97"/>
    <w:rsid w:val="00464FA6"/>
    <w:rsid w:val="004651E5"/>
    <w:rsid w:val="004676E4"/>
    <w:rsid w:val="0046796E"/>
    <w:rsid w:val="00467E09"/>
    <w:rsid w:val="004707EC"/>
    <w:rsid w:val="00470F11"/>
    <w:rsid w:val="0047173F"/>
    <w:rsid w:val="004722FE"/>
    <w:rsid w:val="00472A2C"/>
    <w:rsid w:val="004739B2"/>
    <w:rsid w:val="0047586E"/>
    <w:rsid w:val="004761F8"/>
    <w:rsid w:val="0047624F"/>
    <w:rsid w:val="00476551"/>
    <w:rsid w:val="00476764"/>
    <w:rsid w:val="00477506"/>
    <w:rsid w:val="00477994"/>
    <w:rsid w:val="00480ED0"/>
    <w:rsid w:val="00481CB0"/>
    <w:rsid w:val="00482251"/>
    <w:rsid w:val="00482CC2"/>
    <w:rsid w:val="004835E4"/>
    <w:rsid w:val="00484CF0"/>
    <w:rsid w:val="004856F7"/>
    <w:rsid w:val="00485E98"/>
    <w:rsid w:val="00487169"/>
    <w:rsid w:val="00490539"/>
    <w:rsid w:val="004907EE"/>
    <w:rsid w:val="004910C2"/>
    <w:rsid w:val="00491342"/>
    <w:rsid w:val="0049147A"/>
    <w:rsid w:val="00491B25"/>
    <w:rsid w:val="004925DF"/>
    <w:rsid w:val="004929D1"/>
    <w:rsid w:val="004939CA"/>
    <w:rsid w:val="00497D5C"/>
    <w:rsid w:val="004A243A"/>
    <w:rsid w:val="004A2756"/>
    <w:rsid w:val="004A49CD"/>
    <w:rsid w:val="004A4AED"/>
    <w:rsid w:val="004A58D1"/>
    <w:rsid w:val="004A5E88"/>
    <w:rsid w:val="004A65C0"/>
    <w:rsid w:val="004A6C11"/>
    <w:rsid w:val="004B1E66"/>
    <w:rsid w:val="004B4001"/>
    <w:rsid w:val="004B4B39"/>
    <w:rsid w:val="004B6EA9"/>
    <w:rsid w:val="004B735F"/>
    <w:rsid w:val="004B77FF"/>
    <w:rsid w:val="004C0F0C"/>
    <w:rsid w:val="004C1C90"/>
    <w:rsid w:val="004C49FA"/>
    <w:rsid w:val="004C4C9B"/>
    <w:rsid w:val="004C4EA4"/>
    <w:rsid w:val="004C7C47"/>
    <w:rsid w:val="004D0388"/>
    <w:rsid w:val="004D0478"/>
    <w:rsid w:val="004D0A93"/>
    <w:rsid w:val="004D20F5"/>
    <w:rsid w:val="004D34DD"/>
    <w:rsid w:val="004D382B"/>
    <w:rsid w:val="004D3B10"/>
    <w:rsid w:val="004D49D8"/>
    <w:rsid w:val="004D6E8F"/>
    <w:rsid w:val="004D73A7"/>
    <w:rsid w:val="004D7BA3"/>
    <w:rsid w:val="004E3C6A"/>
    <w:rsid w:val="004E46B0"/>
    <w:rsid w:val="004E645B"/>
    <w:rsid w:val="004F3AC9"/>
    <w:rsid w:val="004F3E60"/>
    <w:rsid w:val="004F40EF"/>
    <w:rsid w:val="004F46F0"/>
    <w:rsid w:val="004F4F78"/>
    <w:rsid w:val="004F55EC"/>
    <w:rsid w:val="005013A2"/>
    <w:rsid w:val="005017DC"/>
    <w:rsid w:val="0050386F"/>
    <w:rsid w:val="005041D5"/>
    <w:rsid w:val="005071D2"/>
    <w:rsid w:val="00510526"/>
    <w:rsid w:val="00510823"/>
    <w:rsid w:val="0051208D"/>
    <w:rsid w:val="00515789"/>
    <w:rsid w:val="00516DA1"/>
    <w:rsid w:val="005201F1"/>
    <w:rsid w:val="00520ACC"/>
    <w:rsid w:val="00520B0B"/>
    <w:rsid w:val="005212D4"/>
    <w:rsid w:val="00522AA1"/>
    <w:rsid w:val="0052415B"/>
    <w:rsid w:val="005266CB"/>
    <w:rsid w:val="00527FBD"/>
    <w:rsid w:val="0053069A"/>
    <w:rsid w:val="005308B0"/>
    <w:rsid w:val="00533B31"/>
    <w:rsid w:val="0053444E"/>
    <w:rsid w:val="0053510C"/>
    <w:rsid w:val="005362B4"/>
    <w:rsid w:val="0053633A"/>
    <w:rsid w:val="00536E3A"/>
    <w:rsid w:val="005400DC"/>
    <w:rsid w:val="00542CCA"/>
    <w:rsid w:val="0054309D"/>
    <w:rsid w:val="005436F3"/>
    <w:rsid w:val="00544451"/>
    <w:rsid w:val="005449D5"/>
    <w:rsid w:val="00544A6C"/>
    <w:rsid w:val="00551427"/>
    <w:rsid w:val="00551C0A"/>
    <w:rsid w:val="00554430"/>
    <w:rsid w:val="00560551"/>
    <w:rsid w:val="00561FE9"/>
    <w:rsid w:val="00562804"/>
    <w:rsid w:val="00564093"/>
    <w:rsid w:val="00564F46"/>
    <w:rsid w:val="005659B2"/>
    <w:rsid w:val="00566CB6"/>
    <w:rsid w:val="00567AAC"/>
    <w:rsid w:val="00572A2F"/>
    <w:rsid w:val="00572C28"/>
    <w:rsid w:val="00572D91"/>
    <w:rsid w:val="00574893"/>
    <w:rsid w:val="00575E03"/>
    <w:rsid w:val="00576A3A"/>
    <w:rsid w:val="00576B9E"/>
    <w:rsid w:val="00577555"/>
    <w:rsid w:val="00577910"/>
    <w:rsid w:val="005803FA"/>
    <w:rsid w:val="00583A5E"/>
    <w:rsid w:val="00590CD8"/>
    <w:rsid w:val="00593310"/>
    <w:rsid w:val="0059593D"/>
    <w:rsid w:val="00595C4D"/>
    <w:rsid w:val="00597498"/>
    <w:rsid w:val="0059767A"/>
    <w:rsid w:val="005A0462"/>
    <w:rsid w:val="005A43FC"/>
    <w:rsid w:val="005A6007"/>
    <w:rsid w:val="005A6752"/>
    <w:rsid w:val="005A6DE4"/>
    <w:rsid w:val="005A7236"/>
    <w:rsid w:val="005B08B3"/>
    <w:rsid w:val="005B0F07"/>
    <w:rsid w:val="005B16D7"/>
    <w:rsid w:val="005B1BB5"/>
    <w:rsid w:val="005B31FB"/>
    <w:rsid w:val="005B3AC2"/>
    <w:rsid w:val="005B439F"/>
    <w:rsid w:val="005B49CC"/>
    <w:rsid w:val="005B62FA"/>
    <w:rsid w:val="005B6576"/>
    <w:rsid w:val="005C09F1"/>
    <w:rsid w:val="005C0B01"/>
    <w:rsid w:val="005C1CF3"/>
    <w:rsid w:val="005C201C"/>
    <w:rsid w:val="005C37A8"/>
    <w:rsid w:val="005C3B0D"/>
    <w:rsid w:val="005C4B2D"/>
    <w:rsid w:val="005C5BC2"/>
    <w:rsid w:val="005C72E9"/>
    <w:rsid w:val="005C79F4"/>
    <w:rsid w:val="005D163E"/>
    <w:rsid w:val="005D33A6"/>
    <w:rsid w:val="005D4D03"/>
    <w:rsid w:val="005D5292"/>
    <w:rsid w:val="005D5470"/>
    <w:rsid w:val="005D637B"/>
    <w:rsid w:val="005E0829"/>
    <w:rsid w:val="005E14F6"/>
    <w:rsid w:val="005E162C"/>
    <w:rsid w:val="005E26A1"/>
    <w:rsid w:val="005E2D33"/>
    <w:rsid w:val="005E494F"/>
    <w:rsid w:val="005E5312"/>
    <w:rsid w:val="005E588E"/>
    <w:rsid w:val="005E5F0F"/>
    <w:rsid w:val="005E695B"/>
    <w:rsid w:val="005F0E22"/>
    <w:rsid w:val="005F1547"/>
    <w:rsid w:val="005F1604"/>
    <w:rsid w:val="005F24F4"/>
    <w:rsid w:val="005F2903"/>
    <w:rsid w:val="005F31D7"/>
    <w:rsid w:val="005F3AA3"/>
    <w:rsid w:val="005F537F"/>
    <w:rsid w:val="005F5931"/>
    <w:rsid w:val="005F7D07"/>
    <w:rsid w:val="0060020D"/>
    <w:rsid w:val="006023D7"/>
    <w:rsid w:val="00602794"/>
    <w:rsid w:val="00604135"/>
    <w:rsid w:val="006058CB"/>
    <w:rsid w:val="0060733C"/>
    <w:rsid w:val="0061140B"/>
    <w:rsid w:val="00613453"/>
    <w:rsid w:val="0061470B"/>
    <w:rsid w:val="00616AE1"/>
    <w:rsid w:val="00617F6B"/>
    <w:rsid w:val="0062067C"/>
    <w:rsid w:val="006214AD"/>
    <w:rsid w:val="0062541F"/>
    <w:rsid w:val="00625863"/>
    <w:rsid w:val="006260E5"/>
    <w:rsid w:val="0062647B"/>
    <w:rsid w:val="00627B69"/>
    <w:rsid w:val="00631CC2"/>
    <w:rsid w:val="00633754"/>
    <w:rsid w:val="00635E85"/>
    <w:rsid w:val="006371FF"/>
    <w:rsid w:val="006436A7"/>
    <w:rsid w:val="00643DD9"/>
    <w:rsid w:val="00644A75"/>
    <w:rsid w:val="006472A0"/>
    <w:rsid w:val="00651512"/>
    <w:rsid w:val="00654956"/>
    <w:rsid w:val="00654DE7"/>
    <w:rsid w:val="0065533C"/>
    <w:rsid w:val="00656A9D"/>
    <w:rsid w:val="00656F5E"/>
    <w:rsid w:val="00662CBC"/>
    <w:rsid w:val="006700A9"/>
    <w:rsid w:val="0067038D"/>
    <w:rsid w:val="00671A6A"/>
    <w:rsid w:val="00673F0C"/>
    <w:rsid w:val="00676A38"/>
    <w:rsid w:val="00680098"/>
    <w:rsid w:val="00680957"/>
    <w:rsid w:val="00682CFC"/>
    <w:rsid w:val="00683B13"/>
    <w:rsid w:val="00686216"/>
    <w:rsid w:val="00686325"/>
    <w:rsid w:val="00686EC4"/>
    <w:rsid w:val="00687063"/>
    <w:rsid w:val="00691425"/>
    <w:rsid w:val="00695E17"/>
    <w:rsid w:val="00696763"/>
    <w:rsid w:val="00696D1D"/>
    <w:rsid w:val="0069734A"/>
    <w:rsid w:val="006A139A"/>
    <w:rsid w:val="006A1939"/>
    <w:rsid w:val="006A303A"/>
    <w:rsid w:val="006A4427"/>
    <w:rsid w:val="006A45A4"/>
    <w:rsid w:val="006A45AE"/>
    <w:rsid w:val="006A5C3E"/>
    <w:rsid w:val="006B0367"/>
    <w:rsid w:val="006B147C"/>
    <w:rsid w:val="006B1E00"/>
    <w:rsid w:val="006B202A"/>
    <w:rsid w:val="006B4802"/>
    <w:rsid w:val="006B5097"/>
    <w:rsid w:val="006B5516"/>
    <w:rsid w:val="006B5D36"/>
    <w:rsid w:val="006B5E7D"/>
    <w:rsid w:val="006B7A09"/>
    <w:rsid w:val="006C42CE"/>
    <w:rsid w:val="006C51DA"/>
    <w:rsid w:val="006C5486"/>
    <w:rsid w:val="006C592D"/>
    <w:rsid w:val="006C5D93"/>
    <w:rsid w:val="006C74B3"/>
    <w:rsid w:val="006D209C"/>
    <w:rsid w:val="006D3791"/>
    <w:rsid w:val="006D465F"/>
    <w:rsid w:val="006D46A6"/>
    <w:rsid w:val="006D4B56"/>
    <w:rsid w:val="006D7209"/>
    <w:rsid w:val="006E11C9"/>
    <w:rsid w:val="006E31AE"/>
    <w:rsid w:val="006E4984"/>
    <w:rsid w:val="006E5E71"/>
    <w:rsid w:val="006F32BF"/>
    <w:rsid w:val="006F38F6"/>
    <w:rsid w:val="006F3989"/>
    <w:rsid w:val="006F4219"/>
    <w:rsid w:val="006F55D6"/>
    <w:rsid w:val="006F575A"/>
    <w:rsid w:val="006F79D7"/>
    <w:rsid w:val="00700A73"/>
    <w:rsid w:val="007015E9"/>
    <w:rsid w:val="00702A10"/>
    <w:rsid w:val="0070484E"/>
    <w:rsid w:val="00704ED8"/>
    <w:rsid w:val="0070601C"/>
    <w:rsid w:val="00706787"/>
    <w:rsid w:val="00706C45"/>
    <w:rsid w:val="00707008"/>
    <w:rsid w:val="00710993"/>
    <w:rsid w:val="00712884"/>
    <w:rsid w:val="00713C6D"/>
    <w:rsid w:val="00715090"/>
    <w:rsid w:val="00715379"/>
    <w:rsid w:val="0071587A"/>
    <w:rsid w:val="007159EB"/>
    <w:rsid w:val="007160E0"/>
    <w:rsid w:val="00716E3F"/>
    <w:rsid w:val="00717DE7"/>
    <w:rsid w:val="00720629"/>
    <w:rsid w:val="00720B16"/>
    <w:rsid w:val="007219C5"/>
    <w:rsid w:val="007223FC"/>
    <w:rsid w:val="00723E51"/>
    <w:rsid w:val="00725F23"/>
    <w:rsid w:val="007267EB"/>
    <w:rsid w:val="0072737A"/>
    <w:rsid w:val="00730159"/>
    <w:rsid w:val="00730AC8"/>
    <w:rsid w:val="00730C0D"/>
    <w:rsid w:val="0073129C"/>
    <w:rsid w:val="007339DB"/>
    <w:rsid w:val="007356FC"/>
    <w:rsid w:val="00735CE3"/>
    <w:rsid w:val="00736DD5"/>
    <w:rsid w:val="0074101E"/>
    <w:rsid w:val="0074150A"/>
    <w:rsid w:val="00741FEC"/>
    <w:rsid w:val="007433D3"/>
    <w:rsid w:val="00743A86"/>
    <w:rsid w:val="00743F1B"/>
    <w:rsid w:val="0074430F"/>
    <w:rsid w:val="007448B9"/>
    <w:rsid w:val="007468E9"/>
    <w:rsid w:val="00746BED"/>
    <w:rsid w:val="00747D71"/>
    <w:rsid w:val="00750288"/>
    <w:rsid w:val="00751BF1"/>
    <w:rsid w:val="007537F1"/>
    <w:rsid w:val="00756643"/>
    <w:rsid w:val="007567FF"/>
    <w:rsid w:val="00756DA9"/>
    <w:rsid w:val="0075794D"/>
    <w:rsid w:val="007608C8"/>
    <w:rsid w:val="00761696"/>
    <w:rsid w:val="00761834"/>
    <w:rsid w:val="00761D56"/>
    <w:rsid w:val="007620D8"/>
    <w:rsid w:val="007631A8"/>
    <w:rsid w:val="0076420A"/>
    <w:rsid w:val="0076492F"/>
    <w:rsid w:val="00764D0F"/>
    <w:rsid w:val="00764ED5"/>
    <w:rsid w:val="007665AE"/>
    <w:rsid w:val="007665E7"/>
    <w:rsid w:val="00767809"/>
    <w:rsid w:val="00773845"/>
    <w:rsid w:val="0077605D"/>
    <w:rsid w:val="00780896"/>
    <w:rsid w:val="00780E48"/>
    <w:rsid w:val="00780FF2"/>
    <w:rsid w:val="007815A1"/>
    <w:rsid w:val="00783BF6"/>
    <w:rsid w:val="0078501F"/>
    <w:rsid w:val="00785229"/>
    <w:rsid w:val="00791744"/>
    <w:rsid w:val="0079186B"/>
    <w:rsid w:val="007919EE"/>
    <w:rsid w:val="00793312"/>
    <w:rsid w:val="00794B5C"/>
    <w:rsid w:val="00796A9E"/>
    <w:rsid w:val="00796D05"/>
    <w:rsid w:val="00797687"/>
    <w:rsid w:val="007A0BE3"/>
    <w:rsid w:val="007A25AF"/>
    <w:rsid w:val="007A30A5"/>
    <w:rsid w:val="007A5FB9"/>
    <w:rsid w:val="007A664A"/>
    <w:rsid w:val="007A70C6"/>
    <w:rsid w:val="007B11D0"/>
    <w:rsid w:val="007B1CB5"/>
    <w:rsid w:val="007B27E9"/>
    <w:rsid w:val="007B2987"/>
    <w:rsid w:val="007B6A8F"/>
    <w:rsid w:val="007B70D3"/>
    <w:rsid w:val="007C1116"/>
    <w:rsid w:val="007C3AA6"/>
    <w:rsid w:val="007C4EF2"/>
    <w:rsid w:val="007C55D4"/>
    <w:rsid w:val="007D093F"/>
    <w:rsid w:val="007D0BE8"/>
    <w:rsid w:val="007D0D6D"/>
    <w:rsid w:val="007D36CA"/>
    <w:rsid w:val="007D4C02"/>
    <w:rsid w:val="007D5920"/>
    <w:rsid w:val="007D6496"/>
    <w:rsid w:val="007D6731"/>
    <w:rsid w:val="007D6837"/>
    <w:rsid w:val="007D7001"/>
    <w:rsid w:val="007D782F"/>
    <w:rsid w:val="007D7E87"/>
    <w:rsid w:val="007E1666"/>
    <w:rsid w:val="007E1ECC"/>
    <w:rsid w:val="007E2A09"/>
    <w:rsid w:val="007E40DD"/>
    <w:rsid w:val="007E4D5F"/>
    <w:rsid w:val="007E5A59"/>
    <w:rsid w:val="007E7C73"/>
    <w:rsid w:val="007F0225"/>
    <w:rsid w:val="007F0AC8"/>
    <w:rsid w:val="007F10CE"/>
    <w:rsid w:val="007F167C"/>
    <w:rsid w:val="007F2066"/>
    <w:rsid w:val="007F2B93"/>
    <w:rsid w:val="007F4005"/>
    <w:rsid w:val="007F64E9"/>
    <w:rsid w:val="007F7EFE"/>
    <w:rsid w:val="007F7F51"/>
    <w:rsid w:val="00800D68"/>
    <w:rsid w:val="0080100B"/>
    <w:rsid w:val="00801BBC"/>
    <w:rsid w:val="00802684"/>
    <w:rsid w:val="00804380"/>
    <w:rsid w:val="00804490"/>
    <w:rsid w:val="00805FBA"/>
    <w:rsid w:val="00806655"/>
    <w:rsid w:val="00806B2A"/>
    <w:rsid w:val="008071EA"/>
    <w:rsid w:val="00810DA4"/>
    <w:rsid w:val="00813597"/>
    <w:rsid w:val="00814221"/>
    <w:rsid w:val="00814A29"/>
    <w:rsid w:val="00825793"/>
    <w:rsid w:val="008259B8"/>
    <w:rsid w:val="00825ADA"/>
    <w:rsid w:val="00825DEA"/>
    <w:rsid w:val="0082667C"/>
    <w:rsid w:val="008269BB"/>
    <w:rsid w:val="00827362"/>
    <w:rsid w:val="008279A8"/>
    <w:rsid w:val="00827E59"/>
    <w:rsid w:val="0083160C"/>
    <w:rsid w:val="0083338A"/>
    <w:rsid w:val="00833923"/>
    <w:rsid w:val="00834848"/>
    <w:rsid w:val="00834CDA"/>
    <w:rsid w:val="00835A8D"/>
    <w:rsid w:val="008362EF"/>
    <w:rsid w:val="008367C0"/>
    <w:rsid w:val="00840F68"/>
    <w:rsid w:val="00843EBB"/>
    <w:rsid w:val="008443EB"/>
    <w:rsid w:val="00844E1C"/>
    <w:rsid w:val="00847A9C"/>
    <w:rsid w:val="00855674"/>
    <w:rsid w:val="0086291A"/>
    <w:rsid w:val="00862D4F"/>
    <w:rsid w:val="00871456"/>
    <w:rsid w:val="00871856"/>
    <w:rsid w:val="00872ABA"/>
    <w:rsid w:val="00872FCE"/>
    <w:rsid w:val="00874EBD"/>
    <w:rsid w:val="008761FC"/>
    <w:rsid w:val="00877D2F"/>
    <w:rsid w:val="008800C1"/>
    <w:rsid w:val="00881137"/>
    <w:rsid w:val="00882933"/>
    <w:rsid w:val="00883A75"/>
    <w:rsid w:val="00883F98"/>
    <w:rsid w:val="00884396"/>
    <w:rsid w:val="008843FC"/>
    <w:rsid w:val="008862BD"/>
    <w:rsid w:val="008917E7"/>
    <w:rsid w:val="008962E9"/>
    <w:rsid w:val="0089653C"/>
    <w:rsid w:val="00896CA9"/>
    <w:rsid w:val="0089766E"/>
    <w:rsid w:val="00897AEF"/>
    <w:rsid w:val="008A0DE6"/>
    <w:rsid w:val="008A1FF5"/>
    <w:rsid w:val="008A233D"/>
    <w:rsid w:val="008A237E"/>
    <w:rsid w:val="008A447D"/>
    <w:rsid w:val="008A4AF5"/>
    <w:rsid w:val="008A4EFA"/>
    <w:rsid w:val="008A62A5"/>
    <w:rsid w:val="008A7E2E"/>
    <w:rsid w:val="008B3124"/>
    <w:rsid w:val="008B5749"/>
    <w:rsid w:val="008B6744"/>
    <w:rsid w:val="008B72A5"/>
    <w:rsid w:val="008B7762"/>
    <w:rsid w:val="008C0421"/>
    <w:rsid w:val="008C1918"/>
    <w:rsid w:val="008C1A51"/>
    <w:rsid w:val="008C2A4A"/>
    <w:rsid w:val="008C2F29"/>
    <w:rsid w:val="008C421B"/>
    <w:rsid w:val="008C4AD0"/>
    <w:rsid w:val="008C6B30"/>
    <w:rsid w:val="008D3033"/>
    <w:rsid w:val="008D493B"/>
    <w:rsid w:val="008D4A7C"/>
    <w:rsid w:val="008D51DA"/>
    <w:rsid w:val="008D53A9"/>
    <w:rsid w:val="008D5615"/>
    <w:rsid w:val="008D5F0D"/>
    <w:rsid w:val="008D683A"/>
    <w:rsid w:val="008E0359"/>
    <w:rsid w:val="008E0805"/>
    <w:rsid w:val="008E0FFB"/>
    <w:rsid w:val="008E12B9"/>
    <w:rsid w:val="008E2B4D"/>
    <w:rsid w:val="008E3094"/>
    <w:rsid w:val="008E3295"/>
    <w:rsid w:val="008E55EA"/>
    <w:rsid w:val="008E5926"/>
    <w:rsid w:val="008E75C5"/>
    <w:rsid w:val="008E7887"/>
    <w:rsid w:val="008E7E6E"/>
    <w:rsid w:val="008F1194"/>
    <w:rsid w:val="008F1884"/>
    <w:rsid w:val="008F237A"/>
    <w:rsid w:val="008F2796"/>
    <w:rsid w:val="008F34D3"/>
    <w:rsid w:val="008F6A2F"/>
    <w:rsid w:val="008F6B5E"/>
    <w:rsid w:val="008F755E"/>
    <w:rsid w:val="008F79D0"/>
    <w:rsid w:val="009008B1"/>
    <w:rsid w:val="00902015"/>
    <w:rsid w:val="00903531"/>
    <w:rsid w:val="00904A65"/>
    <w:rsid w:val="00905793"/>
    <w:rsid w:val="00907263"/>
    <w:rsid w:val="009123F6"/>
    <w:rsid w:val="00913A85"/>
    <w:rsid w:val="00913E2A"/>
    <w:rsid w:val="0091468D"/>
    <w:rsid w:val="0091475E"/>
    <w:rsid w:val="009163B6"/>
    <w:rsid w:val="00916B61"/>
    <w:rsid w:val="00917ED2"/>
    <w:rsid w:val="00917F42"/>
    <w:rsid w:val="009205E3"/>
    <w:rsid w:val="009217A9"/>
    <w:rsid w:val="00922F29"/>
    <w:rsid w:val="009231E6"/>
    <w:rsid w:val="00924926"/>
    <w:rsid w:val="00924ED9"/>
    <w:rsid w:val="009277E9"/>
    <w:rsid w:val="0093042C"/>
    <w:rsid w:val="00931316"/>
    <w:rsid w:val="00933086"/>
    <w:rsid w:val="00934A0F"/>
    <w:rsid w:val="00935CA2"/>
    <w:rsid w:val="00937ED6"/>
    <w:rsid w:val="009406E7"/>
    <w:rsid w:val="00940B04"/>
    <w:rsid w:val="00944AB3"/>
    <w:rsid w:val="009465F6"/>
    <w:rsid w:val="009469A2"/>
    <w:rsid w:val="00950141"/>
    <w:rsid w:val="00950FC7"/>
    <w:rsid w:val="00951D07"/>
    <w:rsid w:val="00953FB3"/>
    <w:rsid w:val="0095455D"/>
    <w:rsid w:val="0095482D"/>
    <w:rsid w:val="009563AA"/>
    <w:rsid w:val="009623A4"/>
    <w:rsid w:val="00963229"/>
    <w:rsid w:val="0096515A"/>
    <w:rsid w:val="00965C79"/>
    <w:rsid w:val="00966601"/>
    <w:rsid w:val="00967094"/>
    <w:rsid w:val="00970079"/>
    <w:rsid w:val="009700A9"/>
    <w:rsid w:val="00970A79"/>
    <w:rsid w:val="00973C9C"/>
    <w:rsid w:val="009752BD"/>
    <w:rsid w:val="009758CF"/>
    <w:rsid w:val="0098672A"/>
    <w:rsid w:val="00990141"/>
    <w:rsid w:val="00990D6F"/>
    <w:rsid w:val="0099157D"/>
    <w:rsid w:val="00993A67"/>
    <w:rsid w:val="00994D7F"/>
    <w:rsid w:val="009962A0"/>
    <w:rsid w:val="0099644E"/>
    <w:rsid w:val="00996F8C"/>
    <w:rsid w:val="009A0627"/>
    <w:rsid w:val="009A0875"/>
    <w:rsid w:val="009A24C3"/>
    <w:rsid w:val="009A44CB"/>
    <w:rsid w:val="009A454D"/>
    <w:rsid w:val="009A472B"/>
    <w:rsid w:val="009A5C14"/>
    <w:rsid w:val="009A7763"/>
    <w:rsid w:val="009A7A9E"/>
    <w:rsid w:val="009A7B95"/>
    <w:rsid w:val="009B05E8"/>
    <w:rsid w:val="009B05F1"/>
    <w:rsid w:val="009B126C"/>
    <w:rsid w:val="009B1A69"/>
    <w:rsid w:val="009B2CF2"/>
    <w:rsid w:val="009B45E7"/>
    <w:rsid w:val="009B493A"/>
    <w:rsid w:val="009B4DE3"/>
    <w:rsid w:val="009B62CB"/>
    <w:rsid w:val="009B6612"/>
    <w:rsid w:val="009B6A55"/>
    <w:rsid w:val="009C158C"/>
    <w:rsid w:val="009C196E"/>
    <w:rsid w:val="009C3B52"/>
    <w:rsid w:val="009C4A6F"/>
    <w:rsid w:val="009C55F9"/>
    <w:rsid w:val="009C6025"/>
    <w:rsid w:val="009D161B"/>
    <w:rsid w:val="009D18A0"/>
    <w:rsid w:val="009D1EF0"/>
    <w:rsid w:val="009D478F"/>
    <w:rsid w:val="009D479C"/>
    <w:rsid w:val="009D5125"/>
    <w:rsid w:val="009D705F"/>
    <w:rsid w:val="009D7772"/>
    <w:rsid w:val="009D7E79"/>
    <w:rsid w:val="009E0B76"/>
    <w:rsid w:val="009E1143"/>
    <w:rsid w:val="009E2925"/>
    <w:rsid w:val="009E409E"/>
    <w:rsid w:val="009E63C4"/>
    <w:rsid w:val="009E7131"/>
    <w:rsid w:val="009F0065"/>
    <w:rsid w:val="009F0651"/>
    <w:rsid w:val="009F0908"/>
    <w:rsid w:val="009F0DCA"/>
    <w:rsid w:val="009F1BCB"/>
    <w:rsid w:val="009F2488"/>
    <w:rsid w:val="009F3650"/>
    <w:rsid w:val="009F6E81"/>
    <w:rsid w:val="009F7321"/>
    <w:rsid w:val="00A00194"/>
    <w:rsid w:val="00A001C6"/>
    <w:rsid w:val="00A00244"/>
    <w:rsid w:val="00A02BF2"/>
    <w:rsid w:val="00A031F9"/>
    <w:rsid w:val="00A05A0B"/>
    <w:rsid w:val="00A05E0C"/>
    <w:rsid w:val="00A12FE6"/>
    <w:rsid w:val="00A14944"/>
    <w:rsid w:val="00A2017E"/>
    <w:rsid w:val="00A2337E"/>
    <w:rsid w:val="00A24A28"/>
    <w:rsid w:val="00A24FA6"/>
    <w:rsid w:val="00A2547A"/>
    <w:rsid w:val="00A261BA"/>
    <w:rsid w:val="00A26D65"/>
    <w:rsid w:val="00A37578"/>
    <w:rsid w:val="00A403A8"/>
    <w:rsid w:val="00A404B2"/>
    <w:rsid w:val="00A406D2"/>
    <w:rsid w:val="00A41901"/>
    <w:rsid w:val="00A428F3"/>
    <w:rsid w:val="00A44630"/>
    <w:rsid w:val="00A446D4"/>
    <w:rsid w:val="00A4582E"/>
    <w:rsid w:val="00A466C5"/>
    <w:rsid w:val="00A472C5"/>
    <w:rsid w:val="00A50CD1"/>
    <w:rsid w:val="00A513F1"/>
    <w:rsid w:val="00A528CC"/>
    <w:rsid w:val="00A52EF0"/>
    <w:rsid w:val="00A5472F"/>
    <w:rsid w:val="00A54C4F"/>
    <w:rsid w:val="00A560DE"/>
    <w:rsid w:val="00A565E9"/>
    <w:rsid w:val="00A56F02"/>
    <w:rsid w:val="00A57FD5"/>
    <w:rsid w:val="00A61B87"/>
    <w:rsid w:val="00A62028"/>
    <w:rsid w:val="00A6320B"/>
    <w:rsid w:val="00A640E4"/>
    <w:rsid w:val="00A6444C"/>
    <w:rsid w:val="00A64491"/>
    <w:rsid w:val="00A66DA4"/>
    <w:rsid w:val="00A7441C"/>
    <w:rsid w:val="00A75036"/>
    <w:rsid w:val="00A7606A"/>
    <w:rsid w:val="00A7702A"/>
    <w:rsid w:val="00A80332"/>
    <w:rsid w:val="00A80D18"/>
    <w:rsid w:val="00A82F73"/>
    <w:rsid w:val="00A84413"/>
    <w:rsid w:val="00A85069"/>
    <w:rsid w:val="00A851D3"/>
    <w:rsid w:val="00A85C99"/>
    <w:rsid w:val="00A86059"/>
    <w:rsid w:val="00A8682A"/>
    <w:rsid w:val="00A877EA"/>
    <w:rsid w:val="00A90434"/>
    <w:rsid w:val="00A90848"/>
    <w:rsid w:val="00A90D5D"/>
    <w:rsid w:val="00A919A8"/>
    <w:rsid w:val="00A94817"/>
    <w:rsid w:val="00A95E04"/>
    <w:rsid w:val="00A9702D"/>
    <w:rsid w:val="00AA084D"/>
    <w:rsid w:val="00AA09CE"/>
    <w:rsid w:val="00AA109A"/>
    <w:rsid w:val="00AA184D"/>
    <w:rsid w:val="00AA21D4"/>
    <w:rsid w:val="00AA3ADF"/>
    <w:rsid w:val="00AA4945"/>
    <w:rsid w:val="00AA4F18"/>
    <w:rsid w:val="00AA7490"/>
    <w:rsid w:val="00AA7EB9"/>
    <w:rsid w:val="00AB0321"/>
    <w:rsid w:val="00AB21EA"/>
    <w:rsid w:val="00AB29DA"/>
    <w:rsid w:val="00AB2D5C"/>
    <w:rsid w:val="00AB3BFD"/>
    <w:rsid w:val="00AB51C0"/>
    <w:rsid w:val="00AB538D"/>
    <w:rsid w:val="00AB70F7"/>
    <w:rsid w:val="00AB7AD4"/>
    <w:rsid w:val="00AC12F5"/>
    <w:rsid w:val="00AC1749"/>
    <w:rsid w:val="00AC2A9D"/>
    <w:rsid w:val="00AC56CE"/>
    <w:rsid w:val="00AC59CF"/>
    <w:rsid w:val="00AC604F"/>
    <w:rsid w:val="00AC71B2"/>
    <w:rsid w:val="00AD2F15"/>
    <w:rsid w:val="00AD34FD"/>
    <w:rsid w:val="00AD4224"/>
    <w:rsid w:val="00AD4E75"/>
    <w:rsid w:val="00AD6DC7"/>
    <w:rsid w:val="00AD74C8"/>
    <w:rsid w:val="00AD757C"/>
    <w:rsid w:val="00AE3181"/>
    <w:rsid w:val="00AE357C"/>
    <w:rsid w:val="00AE6795"/>
    <w:rsid w:val="00AE6ED6"/>
    <w:rsid w:val="00AE7EDF"/>
    <w:rsid w:val="00AF07F9"/>
    <w:rsid w:val="00AF165B"/>
    <w:rsid w:val="00AF16C9"/>
    <w:rsid w:val="00AF3257"/>
    <w:rsid w:val="00AF4186"/>
    <w:rsid w:val="00B01969"/>
    <w:rsid w:val="00B04BED"/>
    <w:rsid w:val="00B06EDD"/>
    <w:rsid w:val="00B10470"/>
    <w:rsid w:val="00B10AEC"/>
    <w:rsid w:val="00B12515"/>
    <w:rsid w:val="00B1367C"/>
    <w:rsid w:val="00B16963"/>
    <w:rsid w:val="00B2044E"/>
    <w:rsid w:val="00B234B3"/>
    <w:rsid w:val="00B24FA2"/>
    <w:rsid w:val="00B27D31"/>
    <w:rsid w:val="00B30BB7"/>
    <w:rsid w:val="00B3130A"/>
    <w:rsid w:val="00B320FF"/>
    <w:rsid w:val="00B32B9E"/>
    <w:rsid w:val="00B32FB1"/>
    <w:rsid w:val="00B3348F"/>
    <w:rsid w:val="00B35AFE"/>
    <w:rsid w:val="00B40329"/>
    <w:rsid w:val="00B40B8D"/>
    <w:rsid w:val="00B4103B"/>
    <w:rsid w:val="00B432A2"/>
    <w:rsid w:val="00B45440"/>
    <w:rsid w:val="00B53BE1"/>
    <w:rsid w:val="00B5466A"/>
    <w:rsid w:val="00B546E5"/>
    <w:rsid w:val="00B54E07"/>
    <w:rsid w:val="00B565C8"/>
    <w:rsid w:val="00B56E68"/>
    <w:rsid w:val="00B575ED"/>
    <w:rsid w:val="00B57F78"/>
    <w:rsid w:val="00B62F9E"/>
    <w:rsid w:val="00B6326B"/>
    <w:rsid w:val="00B66F7A"/>
    <w:rsid w:val="00B67ED0"/>
    <w:rsid w:val="00B70E53"/>
    <w:rsid w:val="00B71451"/>
    <w:rsid w:val="00B74278"/>
    <w:rsid w:val="00B74705"/>
    <w:rsid w:val="00B74730"/>
    <w:rsid w:val="00B75149"/>
    <w:rsid w:val="00B803D6"/>
    <w:rsid w:val="00B83257"/>
    <w:rsid w:val="00B903E3"/>
    <w:rsid w:val="00B911C2"/>
    <w:rsid w:val="00B91DF8"/>
    <w:rsid w:val="00B93396"/>
    <w:rsid w:val="00B95300"/>
    <w:rsid w:val="00B9543E"/>
    <w:rsid w:val="00B9594C"/>
    <w:rsid w:val="00B96F03"/>
    <w:rsid w:val="00B9734C"/>
    <w:rsid w:val="00BA0B05"/>
    <w:rsid w:val="00BA1C6F"/>
    <w:rsid w:val="00BA314C"/>
    <w:rsid w:val="00BA6C1F"/>
    <w:rsid w:val="00BA6D21"/>
    <w:rsid w:val="00BB1E94"/>
    <w:rsid w:val="00BB57F4"/>
    <w:rsid w:val="00BB64DA"/>
    <w:rsid w:val="00BB7712"/>
    <w:rsid w:val="00BC177D"/>
    <w:rsid w:val="00BC1A41"/>
    <w:rsid w:val="00BC2114"/>
    <w:rsid w:val="00BC2908"/>
    <w:rsid w:val="00BC3FC3"/>
    <w:rsid w:val="00BC5224"/>
    <w:rsid w:val="00BC6BAB"/>
    <w:rsid w:val="00BC6FDF"/>
    <w:rsid w:val="00BC7AE4"/>
    <w:rsid w:val="00BC7D79"/>
    <w:rsid w:val="00BD02DD"/>
    <w:rsid w:val="00BD09E2"/>
    <w:rsid w:val="00BD4A4B"/>
    <w:rsid w:val="00BD4C27"/>
    <w:rsid w:val="00BD626E"/>
    <w:rsid w:val="00BD6E92"/>
    <w:rsid w:val="00BE05BB"/>
    <w:rsid w:val="00BE0CF7"/>
    <w:rsid w:val="00BE0F25"/>
    <w:rsid w:val="00BE207E"/>
    <w:rsid w:val="00BE274E"/>
    <w:rsid w:val="00BE336C"/>
    <w:rsid w:val="00BE4D2C"/>
    <w:rsid w:val="00BE5519"/>
    <w:rsid w:val="00BE7988"/>
    <w:rsid w:val="00BE7F6B"/>
    <w:rsid w:val="00BF0382"/>
    <w:rsid w:val="00BF082E"/>
    <w:rsid w:val="00BF0FC4"/>
    <w:rsid w:val="00BF1E0A"/>
    <w:rsid w:val="00BF27E9"/>
    <w:rsid w:val="00BF6F76"/>
    <w:rsid w:val="00C02978"/>
    <w:rsid w:val="00C034A9"/>
    <w:rsid w:val="00C03859"/>
    <w:rsid w:val="00C03DBF"/>
    <w:rsid w:val="00C04FA0"/>
    <w:rsid w:val="00C05E01"/>
    <w:rsid w:val="00C05E42"/>
    <w:rsid w:val="00C06075"/>
    <w:rsid w:val="00C063F1"/>
    <w:rsid w:val="00C078BD"/>
    <w:rsid w:val="00C13805"/>
    <w:rsid w:val="00C15CA6"/>
    <w:rsid w:val="00C16807"/>
    <w:rsid w:val="00C2025F"/>
    <w:rsid w:val="00C214FA"/>
    <w:rsid w:val="00C2167D"/>
    <w:rsid w:val="00C21BCC"/>
    <w:rsid w:val="00C228FA"/>
    <w:rsid w:val="00C23C07"/>
    <w:rsid w:val="00C2403A"/>
    <w:rsid w:val="00C24CC2"/>
    <w:rsid w:val="00C266D3"/>
    <w:rsid w:val="00C266DA"/>
    <w:rsid w:val="00C26FE9"/>
    <w:rsid w:val="00C27BD3"/>
    <w:rsid w:val="00C27D03"/>
    <w:rsid w:val="00C31095"/>
    <w:rsid w:val="00C31607"/>
    <w:rsid w:val="00C32321"/>
    <w:rsid w:val="00C32332"/>
    <w:rsid w:val="00C349F0"/>
    <w:rsid w:val="00C34A1E"/>
    <w:rsid w:val="00C3720B"/>
    <w:rsid w:val="00C41423"/>
    <w:rsid w:val="00C43335"/>
    <w:rsid w:val="00C4334F"/>
    <w:rsid w:val="00C43E9F"/>
    <w:rsid w:val="00C4434A"/>
    <w:rsid w:val="00C44974"/>
    <w:rsid w:val="00C44E9E"/>
    <w:rsid w:val="00C46098"/>
    <w:rsid w:val="00C46439"/>
    <w:rsid w:val="00C46B32"/>
    <w:rsid w:val="00C47A26"/>
    <w:rsid w:val="00C50E1F"/>
    <w:rsid w:val="00C516EC"/>
    <w:rsid w:val="00C53DC9"/>
    <w:rsid w:val="00C571A9"/>
    <w:rsid w:val="00C57A73"/>
    <w:rsid w:val="00C615A7"/>
    <w:rsid w:val="00C616BF"/>
    <w:rsid w:val="00C62C5D"/>
    <w:rsid w:val="00C64873"/>
    <w:rsid w:val="00C65A0A"/>
    <w:rsid w:val="00C66628"/>
    <w:rsid w:val="00C71BA5"/>
    <w:rsid w:val="00C73961"/>
    <w:rsid w:val="00C7422F"/>
    <w:rsid w:val="00C751BF"/>
    <w:rsid w:val="00C7651A"/>
    <w:rsid w:val="00C77280"/>
    <w:rsid w:val="00C812AA"/>
    <w:rsid w:val="00C81AD1"/>
    <w:rsid w:val="00C83111"/>
    <w:rsid w:val="00C84265"/>
    <w:rsid w:val="00C84ED5"/>
    <w:rsid w:val="00C9070B"/>
    <w:rsid w:val="00C94791"/>
    <w:rsid w:val="00C96465"/>
    <w:rsid w:val="00C96D0A"/>
    <w:rsid w:val="00CA001B"/>
    <w:rsid w:val="00CA01AD"/>
    <w:rsid w:val="00CA1A52"/>
    <w:rsid w:val="00CA2625"/>
    <w:rsid w:val="00CA3024"/>
    <w:rsid w:val="00CA3524"/>
    <w:rsid w:val="00CA3E46"/>
    <w:rsid w:val="00CA5475"/>
    <w:rsid w:val="00CA6FE3"/>
    <w:rsid w:val="00CB0E61"/>
    <w:rsid w:val="00CB19DA"/>
    <w:rsid w:val="00CB1BF5"/>
    <w:rsid w:val="00CB3AF4"/>
    <w:rsid w:val="00CB3F45"/>
    <w:rsid w:val="00CB40A0"/>
    <w:rsid w:val="00CB44F6"/>
    <w:rsid w:val="00CB51FF"/>
    <w:rsid w:val="00CB7F06"/>
    <w:rsid w:val="00CC0334"/>
    <w:rsid w:val="00CC1692"/>
    <w:rsid w:val="00CC1B8B"/>
    <w:rsid w:val="00CC1DF5"/>
    <w:rsid w:val="00CC3A59"/>
    <w:rsid w:val="00CC4253"/>
    <w:rsid w:val="00CC4804"/>
    <w:rsid w:val="00CC5133"/>
    <w:rsid w:val="00CC59AB"/>
    <w:rsid w:val="00CC5F27"/>
    <w:rsid w:val="00CC63FE"/>
    <w:rsid w:val="00CC7437"/>
    <w:rsid w:val="00CD1841"/>
    <w:rsid w:val="00CD20E1"/>
    <w:rsid w:val="00CD3BBB"/>
    <w:rsid w:val="00CD3C54"/>
    <w:rsid w:val="00CD492D"/>
    <w:rsid w:val="00CE3521"/>
    <w:rsid w:val="00CE3BC2"/>
    <w:rsid w:val="00CE5723"/>
    <w:rsid w:val="00CE6ED8"/>
    <w:rsid w:val="00CE74C3"/>
    <w:rsid w:val="00CF1168"/>
    <w:rsid w:val="00CF1C88"/>
    <w:rsid w:val="00CF3FC7"/>
    <w:rsid w:val="00CF4841"/>
    <w:rsid w:val="00CF5493"/>
    <w:rsid w:val="00CF67D8"/>
    <w:rsid w:val="00CF694E"/>
    <w:rsid w:val="00CF6BF4"/>
    <w:rsid w:val="00CF7DE9"/>
    <w:rsid w:val="00D01398"/>
    <w:rsid w:val="00D0189D"/>
    <w:rsid w:val="00D04528"/>
    <w:rsid w:val="00D050BA"/>
    <w:rsid w:val="00D05E32"/>
    <w:rsid w:val="00D06FC6"/>
    <w:rsid w:val="00D106A3"/>
    <w:rsid w:val="00D11CE7"/>
    <w:rsid w:val="00D12281"/>
    <w:rsid w:val="00D14D03"/>
    <w:rsid w:val="00D174F0"/>
    <w:rsid w:val="00D17707"/>
    <w:rsid w:val="00D26B1B"/>
    <w:rsid w:val="00D2713F"/>
    <w:rsid w:val="00D2772F"/>
    <w:rsid w:val="00D3079F"/>
    <w:rsid w:val="00D30C5E"/>
    <w:rsid w:val="00D3100A"/>
    <w:rsid w:val="00D312EB"/>
    <w:rsid w:val="00D3348F"/>
    <w:rsid w:val="00D3413F"/>
    <w:rsid w:val="00D3483B"/>
    <w:rsid w:val="00D3497A"/>
    <w:rsid w:val="00D373B0"/>
    <w:rsid w:val="00D40C75"/>
    <w:rsid w:val="00D40F22"/>
    <w:rsid w:val="00D4142C"/>
    <w:rsid w:val="00D4229B"/>
    <w:rsid w:val="00D42F0B"/>
    <w:rsid w:val="00D45C32"/>
    <w:rsid w:val="00D462AD"/>
    <w:rsid w:val="00D46FF7"/>
    <w:rsid w:val="00D47AD5"/>
    <w:rsid w:val="00D47D4C"/>
    <w:rsid w:val="00D518C3"/>
    <w:rsid w:val="00D51C09"/>
    <w:rsid w:val="00D532C6"/>
    <w:rsid w:val="00D5426B"/>
    <w:rsid w:val="00D5599A"/>
    <w:rsid w:val="00D55B21"/>
    <w:rsid w:val="00D569AD"/>
    <w:rsid w:val="00D605E5"/>
    <w:rsid w:val="00D62A8B"/>
    <w:rsid w:val="00D71595"/>
    <w:rsid w:val="00D71B33"/>
    <w:rsid w:val="00D72158"/>
    <w:rsid w:val="00D740F4"/>
    <w:rsid w:val="00D802FD"/>
    <w:rsid w:val="00D8162D"/>
    <w:rsid w:val="00D869C5"/>
    <w:rsid w:val="00D932E1"/>
    <w:rsid w:val="00D937A6"/>
    <w:rsid w:val="00D94A5A"/>
    <w:rsid w:val="00D95166"/>
    <w:rsid w:val="00D97721"/>
    <w:rsid w:val="00DA0427"/>
    <w:rsid w:val="00DA05B7"/>
    <w:rsid w:val="00DA127D"/>
    <w:rsid w:val="00DA266F"/>
    <w:rsid w:val="00DA26A7"/>
    <w:rsid w:val="00DA2928"/>
    <w:rsid w:val="00DA30E8"/>
    <w:rsid w:val="00DA3AE2"/>
    <w:rsid w:val="00DA3B33"/>
    <w:rsid w:val="00DA42A3"/>
    <w:rsid w:val="00DA5B4D"/>
    <w:rsid w:val="00DA7075"/>
    <w:rsid w:val="00DA74A2"/>
    <w:rsid w:val="00DB121B"/>
    <w:rsid w:val="00DB6664"/>
    <w:rsid w:val="00DB73FB"/>
    <w:rsid w:val="00DB7CD4"/>
    <w:rsid w:val="00DC0DBE"/>
    <w:rsid w:val="00DC429D"/>
    <w:rsid w:val="00DC6E17"/>
    <w:rsid w:val="00DC6F8F"/>
    <w:rsid w:val="00DD26B7"/>
    <w:rsid w:val="00DD35D4"/>
    <w:rsid w:val="00DD4DCA"/>
    <w:rsid w:val="00DD5181"/>
    <w:rsid w:val="00DD5CCB"/>
    <w:rsid w:val="00DD6003"/>
    <w:rsid w:val="00DD7B1D"/>
    <w:rsid w:val="00DE1A4C"/>
    <w:rsid w:val="00DE285A"/>
    <w:rsid w:val="00DE2F3F"/>
    <w:rsid w:val="00DE4AFA"/>
    <w:rsid w:val="00DE5417"/>
    <w:rsid w:val="00DE5630"/>
    <w:rsid w:val="00DE7227"/>
    <w:rsid w:val="00DE76FC"/>
    <w:rsid w:val="00DF3789"/>
    <w:rsid w:val="00DF3F22"/>
    <w:rsid w:val="00DF4241"/>
    <w:rsid w:val="00DF45B4"/>
    <w:rsid w:val="00DF4BAB"/>
    <w:rsid w:val="00DF5D14"/>
    <w:rsid w:val="00DF608E"/>
    <w:rsid w:val="00DF6CC5"/>
    <w:rsid w:val="00DF6DEE"/>
    <w:rsid w:val="00DF6FF1"/>
    <w:rsid w:val="00DF76E0"/>
    <w:rsid w:val="00E0139A"/>
    <w:rsid w:val="00E015A9"/>
    <w:rsid w:val="00E02883"/>
    <w:rsid w:val="00E04029"/>
    <w:rsid w:val="00E04242"/>
    <w:rsid w:val="00E10861"/>
    <w:rsid w:val="00E120BC"/>
    <w:rsid w:val="00E1376C"/>
    <w:rsid w:val="00E15635"/>
    <w:rsid w:val="00E16BEE"/>
    <w:rsid w:val="00E21B02"/>
    <w:rsid w:val="00E23869"/>
    <w:rsid w:val="00E26156"/>
    <w:rsid w:val="00E27323"/>
    <w:rsid w:val="00E3099D"/>
    <w:rsid w:val="00E333FB"/>
    <w:rsid w:val="00E3345C"/>
    <w:rsid w:val="00E36150"/>
    <w:rsid w:val="00E36F7B"/>
    <w:rsid w:val="00E40778"/>
    <w:rsid w:val="00E41FE9"/>
    <w:rsid w:val="00E4501A"/>
    <w:rsid w:val="00E4586E"/>
    <w:rsid w:val="00E45DE5"/>
    <w:rsid w:val="00E45DEB"/>
    <w:rsid w:val="00E464B9"/>
    <w:rsid w:val="00E469E8"/>
    <w:rsid w:val="00E46BFA"/>
    <w:rsid w:val="00E47194"/>
    <w:rsid w:val="00E477BE"/>
    <w:rsid w:val="00E47B62"/>
    <w:rsid w:val="00E51517"/>
    <w:rsid w:val="00E51F74"/>
    <w:rsid w:val="00E5403A"/>
    <w:rsid w:val="00E54533"/>
    <w:rsid w:val="00E55868"/>
    <w:rsid w:val="00E60C14"/>
    <w:rsid w:val="00E61815"/>
    <w:rsid w:val="00E63C50"/>
    <w:rsid w:val="00E653EB"/>
    <w:rsid w:val="00E65D86"/>
    <w:rsid w:val="00E66967"/>
    <w:rsid w:val="00E67E1C"/>
    <w:rsid w:val="00E70E2A"/>
    <w:rsid w:val="00E72C1A"/>
    <w:rsid w:val="00E745C5"/>
    <w:rsid w:val="00E74BBE"/>
    <w:rsid w:val="00E75451"/>
    <w:rsid w:val="00E763CD"/>
    <w:rsid w:val="00E76A0F"/>
    <w:rsid w:val="00E7711B"/>
    <w:rsid w:val="00E807D4"/>
    <w:rsid w:val="00E8114F"/>
    <w:rsid w:val="00E828F9"/>
    <w:rsid w:val="00E82B64"/>
    <w:rsid w:val="00E83E08"/>
    <w:rsid w:val="00E850A3"/>
    <w:rsid w:val="00E8528B"/>
    <w:rsid w:val="00E86A15"/>
    <w:rsid w:val="00E87034"/>
    <w:rsid w:val="00E90733"/>
    <w:rsid w:val="00E90F26"/>
    <w:rsid w:val="00E931A2"/>
    <w:rsid w:val="00E93D9A"/>
    <w:rsid w:val="00E96340"/>
    <w:rsid w:val="00EA38D5"/>
    <w:rsid w:val="00EA4363"/>
    <w:rsid w:val="00EA5409"/>
    <w:rsid w:val="00EA5F10"/>
    <w:rsid w:val="00EA5F30"/>
    <w:rsid w:val="00EA6EA0"/>
    <w:rsid w:val="00EA6F59"/>
    <w:rsid w:val="00EA789A"/>
    <w:rsid w:val="00EA7F85"/>
    <w:rsid w:val="00EB219C"/>
    <w:rsid w:val="00EB321E"/>
    <w:rsid w:val="00EB62A2"/>
    <w:rsid w:val="00EB64FC"/>
    <w:rsid w:val="00EB7B3E"/>
    <w:rsid w:val="00EC0FC7"/>
    <w:rsid w:val="00EC3466"/>
    <w:rsid w:val="00EC37C6"/>
    <w:rsid w:val="00EC3CEA"/>
    <w:rsid w:val="00EC744B"/>
    <w:rsid w:val="00EC778D"/>
    <w:rsid w:val="00EC7B5A"/>
    <w:rsid w:val="00ED0894"/>
    <w:rsid w:val="00ED1573"/>
    <w:rsid w:val="00ED1966"/>
    <w:rsid w:val="00ED419B"/>
    <w:rsid w:val="00ED4DA5"/>
    <w:rsid w:val="00ED5AAA"/>
    <w:rsid w:val="00ED5AF3"/>
    <w:rsid w:val="00ED6E55"/>
    <w:rsid w:val="00ED71E9"/>
    <w:rsid w:val="00ED7419"/>
    <w:rsid w:val="00EE050F"/>
    <w:rsid w:val="00EE067F"/>
    <w:rsid w:val="00EE081A"/>
    <w:rsid w:val="00EE1EB5"/>
    <w:rsid w:val="00EE243B"/>
    <w:rsid w:val="00EE2FB7"/>
    <w:rsid w:val="00EE60DB"/>
    <w:rsid w:val="00EE7E38"/>
    <w:rsid w:val="00EE7EEA"/>
    <w:rsid w:val="00EF1D7E"/>
    <w:rsid w:val="00EF2D5D"/>
    <w:rsid w:val="00EF39FC"/>
    <w:rsid w:val="00EF449C"/>
    <w:rsid w:val="00EF4CEE"/>
    <w:rsid w:val="00EF5638"/>
    <w:rsid w:val="00EF6801"/>
    <w:rsid w:val="00EF7F09"/>
    <w:rsid w:val="00F016CA"/>
    <w:rsid w:val="00F01E4F"/>
    <w:rsid w:val="00F04143"/>
    <w:rsid w:val="00F0482C"/>
    <w:rsid w:val="00F0740D"/>
    <w:rsid w:val="00F07750"/>
    <w:rsid w:val="00F07780"/>
    <w:rsid w:val="00F106C0"/>
    <w:rsid w:val="00F10988"/>
    <w:rsid w:val="00F10A86"/>
    <w:rsid w:val="00F12149"/>
    <w:rsid w:val="00F13587"/>
    <w:rsid w:val="00F16387"/>
    <w:rsid w:val="00F203C7"/>
    <w:rsid w:val="00F210E0"/>
    <w:rsid w:val="00F21646"/>
    <w:rsid w:val="00F21917"/>
    <w:rsid w:val="00F27A4B"/>
    <w:rsid w:val="00F27BB1"/>
    <w:rsid w:val="00F31BEE"/>
    <w:rsid w:val="00F32B0E"/>
    <w:rsid w:val="00F33DC4"/>
    <w:rsid w:val="00F35946"/>
    <w:rsid w:val="00F359C0"/>
    <w:rsid w:val="00F37DBE"/>
    <w:rsid w:val="00F421EA"/>
    <w:rsid w:val="00F430AC"/>
    <w:rsid w:val="00F462D5"/>
    <w:rsid w:val="00F46975"/>
    <w:rsid w:val="00F477B9"/>
    <w:rsid w:val="00F51502"/>
    <w:rsid w:val="00F53604"/>
    <w:rsid w:val="00F54A39"/>
    <w:rsid w:val="00F54B2D"/>
    <w:rsid w:val="00F54BBB"/>
    <w:rsid w:val="00F55625"/>
    <w:rsid w:val="00F55FAE"/>
    <w:rsid w:val="00F60171"/>
    <w:rsid w:val="00F6086F"/>
    <w:rsid w:val="00F613FA"/>
    <w:rsid w:val="00F6631F"/>
    <w:rsid w:val="00F72112"/>
    <w:rsid w:val="00F723D6"/>
    <w:rsid w:val="00F724AB"/>
    <w:rsid w:val="00F77E87"/>
    <w:rsid w:val="00F804E3"/>
    <w:rsid w:val="00F806A9"/>
    <w:rsid w:val="00F81620"/>
    <w:rsid w:val="00F8217F"/>
    <w:rsid w:val="00F83113"/>
    <w:rsid w:val="00F83C22"/>
    <w:rsid w:val="00F84521"/>
    <w:rsid w:val="00F87451"/>
    <w:rsid w:val="00F906AB"/>
    <w:rsid w:val="00F91766"/>
    <w:rsid w:val="00F91A6E"/>
    <w:rsid w:val="00F96B7D"/>
    <w:rsid w:val="00FA0537"/>
    <w:rsid w:val="00FA25EA"/>
    <w:rsid w:val="00FA2ECA"/>
    <w:rsid w:val="00FA2FA8"/>
    <w:rsid w:val="00FA65E5"/>
    <w:rsid w:val="00FA6A63"/>
    <w:rsid w:val="00FB1348"/>
    <w:rsid w:val="00FB1EA0"/>
    <w:rsid w:val="00FB2144"/>
    <w:rsid w:val="00FB2DA4"/>
    <w:rsid w:val="00FB45C2"/>
    <w:rsid w:val="00FB5FCF"/>
    <w:rsid w:val="00FB6B51"/>
    <w:rsid w:val="00FC1E49"/>
    <w:rsid w:val="00FC2786"/>
    <w:rsid w:val="00FC36CB"/>
    <w:rsid w:val="00FC3779"/>
    <w:rsid w:val="00FC400D"/>
    <w:rsid w:val="00FC58AA"/>
    <w:rsid w:val="00FC7979"/>
    <w:rsid w:val="00FC7CE2"/>
    <w:rsid w:val="00FD1489"/>
    <w:rsid w:val="00FD15A5"/>
    <w:rsid w:val="00FD2169"/>
    <w:rsid w:val="00FD245E"/>
    <w:rsid w:val="00FD24D9"/>
    <w:rsid w:val="00FD2B4A"/>
    <w:rsid w:val="00FD43CA"/>
    <w:rsid w:val="00FD4B6C"/>
    <w:rsid w:val="00FD7C6C"/>
    <w:rsid w:val="00FE1CB9"/>
    <w:rsid w:val="00FE54A8"/>
    <w:rsid w:val="00FE6741"/>
    <w:rsid w:val="00FE6B1A"/>
    <w:rsid w:val="00FF06F9"/>
    <w:rsid w:val="00FF0FB4"/>
    <w:rsid w:val="00FF1A88"/>
    <w:rsid w:val="00FF2B2A"/>
    <w:rsid w:val="00FF2B97"/>
    <w:rsid w:val="00FF4EE6"/>
    <w:rsid w:val="00FF683E"/>
    <w:rsid w:val="045565FB"/>
    <w:rsid w:val="05C24554"/>
    <w:rsid w:val="07731EDA"/>
    <w:rsid w:val="0784404A"/>
    <w:rsid w:val="099D0555"/>
    <w:rsid w:val="0AA66B07"/>
    <w:rsid w:val="0BA66D62"/>
    <w:rsid w:val="0C2E7DE5"/>
    <w:rsid w:val="0DAF4280"/>
    <w:rsid w:val="0EF5090E"/>
    <w:rsid w:val="103A4EAF"/>
    <w:rsid w:val="10707444"/>
    <w:rsid w:val="10E55ACF"/>
    <w:rsid w:val="138D6E1B"/>
    <w:rsid w:val="14030913"/>
    <w:rsid w:val="154C69AD"/>
    <w:rsid w:val="15CF287D"/>
    <w:rsid w:val="15D4371D"/>
    <w:rsid w:val="16116348"/>
    <w:rsid w:val="163816F1"/>
    <w:rsid w:val="18106956"/>
    <w:rsid w:val="18F736C2"/>
    <w:rsid w:val="192B0D84"/>
    <w:rsid w:val="1A4E3859"/>
    <w:rsid w:val="1AC763E3"/>
    <w:rsid w:val="1B664B02"/>
    <w:rsid w:val="1CD77CF3"/>
    <w:rsid w:val="1CE34318"/>
    <w:rsid w:val="1E370F59"/>
    <w:rsid w:val="1E996BC3"/>
    <w:rsid w:val="1F7946A4"/>
    <w:rsid w:val="1FE92EB2"/>
    <w:rsid w:val="224E07D6"/>
    <w:rsid w:val="22E01A46"/>
    <w:rsid w:val="28183520"/>
    <w:rsid w:val="286E0463"/>
    <w:rsid w:val="290918A1"/>
    <w:rsid w:val="2A3744FF"/>
    <w:rsid w:val="2BC035CC"/>
    <w:rsid w:val="2EB879E5"/>
    <w:rsid w:val="2FD10999"/>
    <w:rsid w:val="31996E41"/>
    <w:rsid w:val="33346C59"/>
    <w:rsid w:val="34622BDD"/>
    <w:rsid w:val="34CF2843"/>
    <w:rsid w:val="34D26D17"/>
    <w:rsid w:val="35C75C95"/>
    <w:rsid w:val="39AE79B4"/>
    <w:rsid w:val="3ABF7DB8"/>
    <w:rsid w:val="3AFF4350"/>
    <w:rsid w:val="3E5206FE"/>
    <w:rsid w:val="45573D7D"/>
    <w:rsid w:val="45EB52C6"/>
    <w:rsid w:val="46185D1F"/>
    <w:rsid w:val="482B6C56"/>
    <w:rsid w:val="49AE47A5"/>
    <w:rsid w:val="4ACF7A75"/>
    <w:rsid w:val="4B43165C"/>
    <w:rsid w:val="4C675C96"/>
    <w:rsid w:val="4DE250C0"/>
    <w:rsid w:val="4F40507F"/>
    <w:rsid w:val="4F9C5574"/>
    <w:rsid w:val="4FF91545"/>
    <w:rsid w:val="52020F9B"/>
    <w:rsid w:val="527D382B"/>
    <w:rsid w:val="53E1377B"/>
    <w:rsid w:val="550E6F94"/>
    <w:rsid w:val="55170CA3"/>
    <w:rsid w:val="554B526C"/>
    <w:rsid w:val="58693E4E"/>
    <w:rsid w:val="58A27E95"/>
    <w:rsid w:val="5AED3DD9"/>
    <w:rsid w:val="5BAF5CDC"/>
    <w:rsid w:val="5D0143FE"/>
    <w:rsid w:val="621D43C7"/>
    <w:rsid w:val="629B7BA9"/>
    <w:rsid w:val="639B4440"/>
    <w:rsid w:val="63CD2A95"/>
    <w:rsid w:val="65F20436"/>
    <w:rsid w:val="66B44B18"/>
    <w:rsid w:val="69C04ABB"/>
    <w:rsid w:val="6AC25DB6"/>
    <w:rsid w:val="6ACE4D37"/>
    <w:rsid w:val="6D533A1E"/>
    <w:rsid w:val="6E584699"/>
    <w:rsid w:val="7396760B"/>
    <w:rsid w:val="73B82F5E"/>
    <w:rsid w:val="74966354"/>
    <w:rsid w:val="76004113"/>
    <w:rsid w:val="76442DB5"/>
    <w:rsid w:val="76816DDF"/>
    <w:rsid w:val="77667C2A"/>
    <w:rsid w:val="7B0A6242"/>
    <w:rsid w:val="7B4D1255"/>
    <w:rsid w:val="7EA118FD"/>
    <w:rsid w:val="7F685EF5"/>
    <w:rsid w:val="7FBA2042"/>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1" w:semiHidden="0" w:name="heading 1"/>
    <w:lsdException w:qFormat="1" w:unhideWhenUsed="0" w:uiPriority="9" w:semiHidden="0" w:name="heading 2"/>
    <w:lsdException w:qFormat="1" w:unhideWhenUsed="0" w:uiPriority="1"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72"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3">
    <w:name w:val="heading 1"/>
    <w:basedOn w:val="1"/>
    <w:next w:val="1"/>
    <w:link w:val="20"/>
    <w:qFormat/>
    <w:uiPriority w:val="1"/>
    <w:pPr>
      <w:autoSpaceDE w:val="0"/>
      <w:autoSpaceDN w:val="0"/>
      <w:adjustRightInd w:val="0"/>
      <w:spacing w:before="17"/>
      <w:ind w:left="1144"/>
      <w:jc w:val="left"/>
      <w:outlineLvl w:val="0"/>
    </w:pPr>
    <w:rPr>
      <w:rFonts w:ascii="黑体" w:hAnsi="Times New Roman" w:eastAsia="黑体"/>
      <w:b/>
      <w:bCs/>
      <w:kern w:val="0"/>
      <w:sz w:val="36"/>
      <w:szCs w:val="36"/>
    </w:rPr>
  </w:style>
  <w:style w:type="paragraph" w:styleId="4">
    <w:name w:val="heading 2"/>
    <w:basedOn w:val="1"/>
    <w:next w:val="1"/>
    <w:link w:val="21"/>
    <w:qFormat/>
    <w:uiPriority w:val="9"/>
    <w:pPr>
      <w:keepNext/>
      <w:keepLines/>
      <w:spacing w:before="260" w:after="260" w:line="416" w:lineRule="auto"/>
      <w:outlineLvl w:val="1"/>
    </w:pPr>
    <w:rPr>
      <w:rFonts w:ascii="Cambria" w:hAnsi="Cambria"/>
      <w:b/>
      <w:bCs/>
      <w:kern w:val="0"/>
      <w:sz w:val="32"/>
      <w:szCs w:val="32"/>
    </w:rPr>
  </w:style>
  <w:style w:type="paragraph" w:styleId="5">
    <w:name w:val="heading 3"/>
    <w:basedOn w:val="1"/>
    <w:next w:val="1"/>
    <w:link w:val="22"/>
    <w:qFormat/>
    <w:uiPriority w:val="1"/>
    <w:pPr>
      <w:autoSpaceDE w:val="0"/>
      <w:autoSpaceDN w:val="0"/>
      <w:adjustRightInd w:val="0"/>
      <w:spacing w:before="34"/>
      <w:ind w:left="120"/>
      <w:jc w:val="left"/>
      <w:outlineLvl w:val="2"/>
    </w:pPr>
    <w:rPr>
      <w:rFonts w:ascii="宋体" w:hAnsi="Times New Roman"/>
      <w:b/>
      <w:bCs/>
      <w:kern w:val="0"/>
      <w:sz w:val="20"/>
      <w:szCs w:val="21"/>
    </w:rPr>
  </w:style>
  <w:style w:type="character" w:default="1" w:styleId="15">
    <w:name w:val="Default Paragraph Font"/>
    <w:unhideWhenUsed/>
    <w:qFormat/>
    <w:uiPriority w:val="1"/>
  </w:style>
  <w:style w:type="table" w:default="1" w:styleId="13">
    <w:name w:val="Normal Table"/>
    <w:unhideWhenUsed/>
    <w:qFormat/>
    <w:uiPriority w:val="99"/>
    <w:tblPr>
      <w:tblCellMar>
        <w:top w:w="0" w:type="dxa"/>
        <w:left w:w="108" w:type="dxa"/>
        <w:bottom w:w="0" w:type="dxa"/>
        <w:right w:w="108" w:type="dxa"/>
      </w:tblCellMar>
    </w:tblPr>
  </w:style>
  <w:style w:type="paragraph" w:styleId="2">
    <w:name w:val="Body Text"/>
    <w:basedOn w:val="1"/>
    <w:next w:val="1"/>
    <w:link w:val="19"/>
    <w:qFormat/>
    <w:uiPriority w:val="1"/>
    <w:pPr>
      <w:autoSpaceDE w:val="0"/>
      <w:autoSpaceDN w:val="0"/>
      <w:adjustRightInd w:val="0"/>
      <w:spacing w:before="162"/>
      <w:ind w:left="120"/>
      <w:jc w:val="left"/>
    </w:pPr>
    <w:rPr>
      <w:rFonts w:ascii="宋体" w:hAnsi="Times New Roman"/>
      <w:kern w:val="0"/>
      <w:sz w:val="20"/>
      <w:szCs w:val="21"/>
    </w:rPr>
  </w:style>
  <w:style w:type="paragraph" w:styleId="6">
    <w:name w:val="annotation text"/>
    <w:basedOn w:val="1"/>
    <w:link w:val="23"/>
    <w:unhideWhenUsed/>
    <w:qFormat/>
    <w:uiPriority w:val="99"/>
    <w:pPr>
      <w:jc w:val="left"/>
    </w:pPr>
  </w:style>
  <w:style w:type="paragraph" w:styleId="7">
    <w:name w:val="Date"/>
    <w:basedOn w:val="1"/>
    <w:next w:val="1"/>
    <w:link w:val="24"/>
    <w:unhideWhenUsed/>
    <w:qFormat/>
    <w:uiPriority w:val="99"/>
    <w:pPr>
      <w:ind w:left="100" w:leftChars="2500"/>
    </w:pPr>
  </w:style>
  <w:style w:type="paragraph" w:styleId="8">
    <w:name w:val="Balloon Text"/>
    <w:basedOn w:val="1"/>
    <w:link w:val="25"/>
    <w:unhideWhenUsed/>
    <w:qFormat/>
    <w:uiPriority w:val="99"/>
    <w:rPr>
      <w:kern w:val="0"/>
      <w:sz w:val="18"/>
      <w:szCs w:val="18"/>
    </w:rPr>
  </w:style>
  <w:style w:type="paragraph" w:styleId="9">
    <w:name w:val="footer"/>
    <w:basedOn w:val="1"/>
    <w:link w:val="26"/>
    <w:unhideWhenUsed/>
    <w:qFormat/>
    <w:uiPriority w:val="99"/>
    <w:pPr>
      <w:tabs>
        <w:tab w:val="center" w:pos="4153"/>
        <w:tab w:val="right" w:pos="8306"/>
      </w:tabs>
      <w:snapToGrid w:val="0"/>
      <w:jc w:val="left"/>
    </w:pPr>
    <w:rPr>
      <w:kern w:val="0"/>
      <w:sz w:val="18"/>
      <w:szCs w:val="18"/>
    </w:rPr>
  </w:style>
  <w:style w:type="paragraph" w:styleId="10">
    <w:name w:val="header"/>
    <w:basedOn w:val="1"/>
    <w:link w:val="27"/>
    <w:unhideWhenUsed/>
    <w:qFormat/>
    <w:uiPriority w:val="99"/>
    <w:pPr>
      <w:pBdr>
        <w:bottom w:val="single" w:color="auto" w:sz="6" w:space="1"/>
      </w:pBdr>
      <w:tabs>
        <w:tab w:val="center" w:pos="4153"/>
        <w:tab w:val="right" w:pos="8306"/>
      </w:tabs>
      <w:snapToGrid w:val="0"/>
      <w:jc w:val="center"/>
    </w:pPr>
    <w:rPr>
      <w:kern w:val="0"/>
      <w:sz w:val="18"/>
      <w:szCs w:val="18"/>
    </w:rPr>
  </w:style>
  <w:style w:type="paragraph" w:styleId="11">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styleId="12">
    <w:name w:val="annotation subject"/>
    <w:basedOn w:val="6"/>
    <w:next w:val="6"/>
    <w:link w:val="28"/>
    <w:unhideWhenUsed/>
    <w:qFormat/>
    <w:uiPriority w:val="99"/>
    <w:rPr>
      <w:b/>
      <w:bCs/>
    </w:rPr>
  </w:style>
  <w:style w:type="table" w:styleId="14">
    <w:name w:val="Table Grid"/>
    <w:basedOn w:val="13"/>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6">
    <w:name w:val="Strong"/>
    <w:qFormat/>
    <w:uiPriority w:val="22"/>
    <w:rPr>
      <w:b/>
      <w:bCs/>
    </w:rPr>
  </w:style>
  <w:style w:type="character" w:styleId="17">
    <w:name w:val="Hyperlink"/>
    <w:unhideWhenUsed/>
    <w:qFormat/>
    <w:uiPriority w:val="99"/>
    <w:rPr>
      <w:color w:val="0000FF"/>
      <w:u w:val="single"/>
    </w:rPr>
  </w:style>
  <w:style w:type="character" w:styleId="18">
    <w:name w:val="annotation reference"/>
    <w:unhideWhenUsed/>
    <w:qFormat/>
    <w:uiPriority w:val="99"/>
    <w:rPr>
      <w:sz w:val="21"/>
      <w:szCs w:val="21"/>
    </w:rPr>
  </w:style>
  <w:style w:type="character" w:customStyle="1" w:styleId="19">
    <w:name w:val="正文文本 Char"/>
    <w:link w:val="2"/>
    <w:qFormat/>
    <w:uiPriority w:val="1"/>
    <w:rPr>
      <w:rFonts w:ascii="宋体" w:hAnsi="Times New Roman" w:eastAsia="宋体" w:cs="宋体"/>
      <w:kern w:val="0"/>
      <w:szCs w:val="21"/>
    </w:rPr>
  </w:style>
  <w:style w:type="character" w:customStyle="1" w:styleId="20">
    <w:name w:val="标题 1 Char"/>
    <w:link w:val="3"/>
    <w:qFormat/>
    <w:uiPriority w:val="1"/>
    <w:rPr>
      <w:rFonts w:ascii="黑体" w:hAnsi="Times New Roman" w:eastAsia="黑体" w:cs="黑体"/>
      <w:b/>
      <w:bCs/>
      <w:kern w:val="0"/>
      <w:sz w:val="36"/>
      <w:szCs w:val="36"/>
    </w:rPr>
  </w:style>
  <w:style w:type="character" w:customStyle="1" w:styleId="21">
    <w:name w:val="标题 2 Char"/>
    <w:link w:val="4"/>
    <w:qFormat/>
    <w:uiPriority w:val="9"/>
    <w:rPr>
      <w:rFonts w:ascii="Cambria" w:hAnsi="Cambria" w:eastAsia="宋体" w:cs="Times New Roman"/>
      <w:b/>
      <w:bCs/>
      <w:sz w:val="32"/>
      <w:szCs w:val="32"/>
    </w:rPr>
  </w:style>
  <w:style w:type="character" w:customStyle="1" w:styleId="22">
    <w:name w:val="标题 3 Char"/>
    <w:link w:val="5"/>
    <w:qFormat/>
    <w:uiPriority w:val="1"/>
    <w:rPr>
      <w:rFonts w:ascii="宋体" w:hAnsi="Times New Roman" w:eastAsia="宋体" w:cs="宋体"/>
      <w:b/>
      <w:bCs/>
      <w:kern w:val="0"/>
      <w:szCs w:val="21"/>
    </w:rPr>
  </w:style>
  <w:style w:type="character" w:customStyle="1" w:styleId="23">
    <w:name w:val="批注文字 Char"/>
    <w:link w:val="6"/>
    <w:qFormat/>
    <w:uiPriority w:val="99"/>
    <w:rPr>
      <w:kern w:val="2"/>
      <w:sz w:val="21"/>
      <w:szCs w:val="22"/>
    </w:rPr>
  </w:style>
  <w:style w:type="character" w:customStyle="1" w:styleId="24">
    <w:name w:val="日期 Char"/>
    <w:link w:val="7"/>
    <w:semiHidden/>
    <w:qFormat/>
    <w:uiPriority w:val="99"/>
  </w:style>
  <w:style w:type="character" w:customStyle="1" w:styleId="25">
    <w:name w:val="批注框文本 Char"/>
    <w:link w:val="8"/>
    <w:semiHidden/>
    <w:qFormat/>
    <w:uiPriority w:val="99"/>
    <w:rPr>
      <w:sz w:val="18"/>
      <w:szCs w:val="18"/>
    </w:rPr>
  </w:style>
  <w:style w:type="character" w:customStyle="1" w:styleId="26">
    <w:name w:val="页脚 Char"/>
    <w:link w:val="9"/>
    <w:qFormat/>
    <w:uiPriority w:val="99"/>
    <w:rPr>
      <w:sz w:val="18"/>
      <w:szCs w:val="18"/>
    </w:rPr>
  </w:style>
  <w:style w:type="character" w:customStyle="1" w:styleId="27">
    <w:name w:val="页眉 Char"/>
    <w:link w:val="10"/>
    <w:qFormat/>
    <w:uiPriority w:val="99"/>
    <w:rPr>
      <w:sz w:val="18"/>
      <w:szCs w:val="18"/>
    </w:rPr>
  </w:style>
  <w:style w:type="character" w:customStyle="1" w:styleId="28">
    <w:name w:val="批注主题 Char"/>
    <w:link w:val="12"/>
    <w:semiHidden/>
    <w:qFormat/>
    <w:uiPriority w:val="99"/>
    <w:rPr>
      <w:b/>
      <w:bCs/>
      <w:kern w:val="2"/>
      <w:sz w:val="21"/>
      <w:szCs w:val="22"/>
    </w:rPr>
  </w:style>
  <w:style w:type="paragraph" w:customStyle="1" w:styleId="29">
    <w:name w:val="Default"/>
    <w:qFormat/>
    <w:uiPriority w:val="0"/>
    <w:pPr>
      <w:widowControl w:val="0"/>
      <w:autoSpaceDE w:val="0"/>
      <w:autoSpaceDN w:val="0"/>
      <w:adjustRightInd w:val="0"/>
    </w:pPr>
    <w:rPr>
      <w:rFonts w:ascii="宋体" w:hAnsi="宋体" w:eastAsia="宋体" w:cs="宋体"/>
      <w:color w:val="000000"/>
      <w:sz w:val="24"/>
      <w:szCs w:val="24"/>
      <w:lang w:val="en-US" w:eastAsia="zh-CN" w:bidi="ar-SA"/>
    </w:rPr>
  </w:style>
  <w:style w:type="paragraph" w:styleId="30">
    <w:name w:val="List Paragraph"/>
    <w:basedOn w:val="1"/>
    <w:qFormat/>
    <w:uiPriority w:val="72"/>
    <w:pPr>
      <w:ind w:firstLine="420" w:firstLineChars="200"/>
    </w:pPr>
  </w:style>
  <w:style w:type="paragraph" w:customStyle="1" w:styleId="31">
    <w:name w:val="_Style 30"/>
    <w:semiHidden/>
    <w:qFormat/>
    <w:uiPriority w:val="99"/>
    <w:rPr>
      <w:rFonts w:ascii="Times New Roman" w:hAnsi="Times New Roman" w:eastAsia="宋体" w:cs="Times New Roman"/>
      <w:kern w:val="2"/>
      <w:sz w:val="21"/>
      <w:szCs w:val="22"/>
      <w:lang w:val="en-US" w:eastAsia="zh-CN" w:bidi="ar-SA"/>
    </w:rPr>
  </w:style>
  <w:style w:type="paragraph" w:customStyle="1" w:styleId="32">
    <w:name w:val="Table Paragraph"/>
    <w:basedOn w:val="1"/>
    <w:qFormat/>
    <w:uiPriority w:val="1"/>
    <w:pPr>
      <w:autoSpaceDE w:val="0"/>
      <w:autoSpaceDN w:val="0"/>
      <w:adjustRightInd w:val="0"/>
      <w:jc w:val="left"/>
    </w:pPr>
    <w:rPr>
      <w:rFonts w:ascii="Times New Roman" w:hAnsi="Times New Roman" w:cs="Times New Roman"/>
      <w:kern w:val="0"/>
      <w:sz w:val="24"/>
      <w:szCs w:val="24"/>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1</Pages>
  <Words>57</Words>
  <Characters>327</Characters>
  <Lines>2</Lines>
  <Paragraphs>1</Paragraphs>
  <TotalTime>9</TotalTime>
  <ScaleCrop>false</ScaleCrop>
  <LinksUpToDate>false</LinksUpToDate>
  <CharactersWithSpaces>383</CharactersWithSpaces>
  <Application>WPS Office_11.8.2.11734_F1E327BC-269C-435d-A152-05C5408002CA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2021-11-25T11:20:00Z</dcterms:created>
  <dc:creator>JSYH</dc:creator>
  <cp:lastModifiedBy>lhy</cp:lastModifiedBy>
  <cp:lastPrinted>2022-06-20T06:27:00Z</cp:lastPrinted>
  <dcterms:modified xsi:type="dcterms:W3CDTF">2025-12-29T02:13:52Z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2052-11.8.2.11734</vt:lpwstr>
  </property>
  <property fmtid="{D5CDD505-2E9C-101B-9397-08002B2CF9AE}" pid="3" name="ICV">
    <vt:lpwstr>D9902CAA36314EE6BF65C359CAFA99D5</vt:lpwstr>
  </property>
</Properties>
</file>