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楷体" w:hAnsi="楷体" w:eastAsia="楷体"/>
          <w:b/>
          <w:sz w:val="36"/>
          <w:szCs w:val="36"/>
        </w:rPr>
      </w:pPr>
      <w:r>
        <w:rPr>
          <w:rFonts w:hint="eastAsia" w:ascii="楷体" w:hAnsi="楷体" w:eastAsia="楷体"/>
          <w:b/>
          <w:sz w:val="36"/>
          <w:szCs w:val="36"/>
        </w:rPr>
        <w:t>关于调整“苏银理财恒源</w:t>
      </w:r>
      <w:r>
        <w:rPr>
          <w:rFonts w:hint="eastAsia" w:ascii="楷体" w:hAnsi="楷体" w:eastAsia="楷体"/>
          <w:b/>
          <w:sz w:val="36"/>
          <w:szCs w:val="36"/>
          <w:lang w:val="en-US" w:eastAsia="zh-CN"/>
        </w:rPr>
        <w:t>季开放3号</w:t>
      </w:r>
      <w:r>
        <w:rPr>
          <w:rFonts w:hint="eastAsia" w:ascii="楷体" w:hAnsi="楷体" w:eastAsia="楷体"/>
          <w:b/>
          <w:sz w:val="36"/>
          <w:szCs w:val="36"/>
        </w:rPr>
        <w:t xml:space="preserve">” </w:t>
      </w:r>
    </w:p>
    <w:p>
      <w:pPr>
        <w:jc w:val="center"/>
        <w:outlineLvl w:val="0"/>
        <w:rPr>
          <w:rFonts w:hint="eastAsia" w:ascii="楷体" w:hAnsi="楷体" w:eastAsia="楷体"/>
          <w:b/>
          <w:kern w:val="0"/>
          <w:sz w:val="36"/>
          <w:szCs w:val="36"/>
        </w:rPr>
      </w:pPr>
      <w:r>
        <w:rPr>
          <w:rFonts w:hint="eastAsia" w:ascii="楷体" w:hAnsi="楷体" w:eastAsia="楷体"/>
          <w:b/>
          <w:sz w:val="36"/>
          <w:szCs w:val="36"/>
        </w:rPr>
        <w:t>理财产品要素的公告</w:t>
      </w:r>
    </w:p>
    <w:p>
      <w:pPr>
        <w:spacing w:line="520" w:lineRule="exact"/>
        <w:rPr>
          <w:rFonts w:hint="eastAsia" w:ascii="楷体" w:hAnsi="楷体" w:eastAsia="楷体"/>
          <w:kern w:val="0"/>
          <w:sz w:val="28"/>
          <w:szCs w:val="28"/>
        </w:rPr>
      </w:pPr>
      <w:r>
        <w:rPr>
          <w:rFonts w:hint="eastAsia" w:ascii="楷体" w:hAnsi="楷体" w:eastAsia="楷体"/>
          <w:kern w:val="0"/>
          <w:sz w:val="28"/>
          <w:szCs w:val="28"/>
        </w:rPr>
        <w:t>尊敬的客户：</w:t>
      </w:r>
    </w:p>
    <w:p>
      <w:pPr>
        <w:rPr>
          <w:rFonts w:hint="eastAsia" w:ascii="楷体" w:hAnsi="楷体" w:eastAsia="楷体" w:cs="Times New Roman"/>
          <w:sz w:val="28"/>
          <w:szCs w:val="28"/>
          <w:lang w:val="en-US" w:eastAsia="zh-CN"/>
        </w:rPr>
      </w:pPr>
      <w:r>
        <w:rPr>
          <w:rFonts w:hint="eastAsia"/>
          <w:lang w:val="en-US" w:eastAsia="zh-CN"/>
        </w:rPr>
        <w:t xml:space="preserve">    </w:t>
      </w:r>
      <w:r>
        <w:rPr>
          <w:rFonts w:hint="eastAsia" w:ascii="楷体" w:hAnsi="楷体" w:eastAsia="楷体" w:cs="Times New Roman"/>
          <w:sz w:val="28"/>
          <w:szCs w:val="28"/>
          <w:lang w:val="en-US" w:eastAsia="zh-CN"/>
        </w:rPr>
        <w:t xml:space="preserve"> 管理人拟对“苏银理财恒源季开放3号”理财产品部分要素进行调整，具体如下：</w:t>
      </w:r>
    </w:p>
    <w:p>
      <w:pPr>
        <w:pStyle w:val="2"/>
        <w:numPr>
          <w:numId w:val="0"/>
        </w:numPr>
        <w:ind w:leftChars="200" w:firstLine="281" w:firstLineChars="1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一、说明书费用调整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p>
        </w:tc>
        <w:tc>
          <w:tcPr>
            <w:tcW w:w="3027"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vertAlign w:val="baseline"/>
                <w:lang w:val="en-US" w:eastAsia="zh-CN"/>
              </w:rPr>
              <w:t>说明书销售服务费</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苏银理财恒源季开放3号W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J02829</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0.30%/年</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0.40%/年</w:t>
            </w:r>
          </w:p>
        </w:tc>
      </w:tr>
    </w:tbl>
    <w:p>
      <w:pPr>
        <w:pStyle w:val="2"/>
        <w:numPr>
          <w:numId w:val="0"/>
        </w:numPr>
        <w:ind w:leftChars="200" w:firstLine="281" w:firstLineChars="100"/>
        <w:rPr>
          <w:rFonts w:hint="default"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二、业绩比较基准调整</w:t>
      </w:r>
    </w:p>
    <w:tbl>
      <w:tblPr>
        <w:tblStyle w:val="14"/>
        <w:tblW w:w="88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13"/>
        <w:gridCol w:w="1195"/>
        <w:gridCol w:w="2732"/>
        <w:gridCol w:w="30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913"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销售简称</w:t>
            </w:r>
          </w:p>
        </w:tc>
        <w:tc>
          <w:tcPr>
            <w:tcW w:w="1195"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rPr>
              <w:t>销售代码</w:t>
            </w:r>
          </w:p>
        </w:tc>
        <w:tc>
          <w:tcPr>
            <w:tcW w:w="2732" w:type="dxa"/>
            <w:noWrap w:val="0"/>
            <w:vAlign w:val="center"/>
          </w:tcPr>
          <w:p>
            <w:pPr>
              <w:pStyle w:val="11"/>
              <w:spacing w:before="0" w:beforeAutospacing="0" w:after="0" w:afterAutospacing="0" w:line="480" w:lineRule="auto"/>
              <w:jc w:val="center"/>
              <w:rPr>
                <w:rFonts w:hint="eastAsia"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调整前</w:t>
            </w:r>
            <w:r>
              <w:rPr>
                <w:rFonts w:hint="eastAsia" w:ascii="楷体" w:hAnsi="楷体" w:eastAsia="楷体" w:cs="Times New Roman"/>
                <w:b/>
                <w:bCs/>
                <w:sz w:val="24"/>
                <w:szCs w:val="24"/>
                <w:vertAlign w:val="baseline"/>
                <w:lang w:val="en-US" w:eastAsia="zh-CN"/>
              </w:rPr>
              <w:t>业绩比较基准</w:t>
            </w:r>
          </w:p>
          <w:p>
            <w:pPr>
              <w:pStyle w:val="11"/>
              <w:spacing w:before="0" w:beforeAutospacing="0" w:after="0" w:afterAutospacing="0" w:line="480" w:lineRule="auto"/>
              <w:jc w:val="center"/>
              <w:rPr>
                <w:rFonts w:hint="default" w:ascii="楷体" w:hAnsi="楷体" w:eastAsia="楷体" w:cs="Times New Roman"/>
                <w:b/>
                <w:bCs/>
                <w:sz w:val="24"/>
                <w:szCs w:val="24"/>
                <w:vertAlign w:val="baseline"/>
                <w:lang w:val="en-US" w:eastAsia="zh-CN"/>
              </w:rPr>
            </w:pPr>
            <w:r>
              <w:rPr>
                <w:rFonts w:hint="eastAsia" w:ascii="楷体" w:hAnsi="楷体" w:eastAsia="楷体" w:cs="Times New Roman"/>
                <w:b/>
                <w:bCs/>
                <w:sz w:val="24"/>
                <w:szCs w:val="24"/>
                <w:lang w:val="en-US" w:eastAsia="zh-CN"/>
              </w:rPr>
              <w:t>（年化）</w:t>
            </w:r>
          </w:p>
        </w:tc>
        <w:tc>
          <w:tcPr>
            <w:tcW w:w="3027" w:type="dxa"/>
            <w:noWrap w:val="0"/>
            <w:vAlign w:val="center"/>
          </w:tcPr>
          <w:p>
            <w:pPr>
              <w:pStyle w:val="11"/>
              <w:spacing w:before="0" w:beforeAutospacing="0" w:after="0" w:afterAutospacing="0" w:line="480" w:lineRule="auto"/>
              <w:jc w:val="center"/>
              <w:rPr>
                <w:rFonts w:hint="default"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调整后业绩比较基准</w:t>
            </w:r>
          </w:p>
          <w:p>
            <w:pPr>
              <w:pStyle w:val="11"/>
              <w:spacing w:before="0" w:beforeAutospacing="0" w:after="0" w:afterAutospacing="0" w:line="480" w:lineRule="auto"/>
              <w:jc w:val="center"/>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913" w:type="dxa"/>
            <w:noWrap w:val="0"/>
            <w:vAlign w:val="center"/>
          </w:tcPr>
          <w:p>
            <w:pPr>
              <w:keepNext w:val="0"/>
              <w:keepLines w:val="0"/>
              <w:widowControl/>
              <w:suppressLineNumbers w:val="0"/>
              <w:jc w:val="center"/>
              <w:textAlignment w:val="center"/>
              <w:rPr>
                <w:rFonts w:hint="eastAsia" w:ascii="楷体" w:hAnsi="楷体" w:eastAsia="楷体" w:cs="Times New Roman"/>
                <w:kern w:val="2"/>
                <w:sz w:val="32"/>
                <w:szCs w:val="32"/>
                <w:lang w:val="en-US" w:eastAsia="zh-CN" w:bidi="ar-SA"/>
              </w:rPr>
            </w:pPr>
            <w:r>
              <w:rPr>
                <w:rFonts w:hint="eastAsia" w:ascii="楷体" w:hAnsi="楷体" w:eastAsia="楷体" w:cs="楷体"/>
                <w:i w:val="0"/>
                <w:color w:val="000000"/>
                <w:kern w:val="0"/>
                <w:sz w:val="24"/>
                <w:szCs w:val="24"/>
                <w:u w:val="none"/>
                <w:lang w:val="en-US" w:eastAsia="zh-CN" w:bidi="ar"/>
              </w:rPr>
              <w:t>苏银理财恒源季开放3号W</w:t>
            </w:r>
          </w:p>
        </w:tc>
        <w:tc>
          <w:tcPr>
            <w:tcW w:w="1195" w:type="dxa"/>
            <w:noWrap w:val="0"/>
            <w:vAlign w:val="center"/>
          </w:tcPr>
          <w:p>
            <w:pPr>
              <w:keepNext w:val="0"/>
              <w:keepLines w:val="0"/>
              <w:widowControl/>
              <w:suppressLineNumbers w:val="0"/>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J02829</w:t>
            </w:r>
          </w:p>
        </w:tc>
        <w:tc>
          <w:tcPr>
            <w:tcW w:w="2732"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2.10%-2.90%</w:t>
            </w:r>
          </w:p>
        </w:tc>
        <w:tc>
          <w:tcPr>
            <w:tcW w:w="3027" w:type="dxa"/>
            <w:noWrap w:val="0"/>
            <w:vAlign w:val="center"/>
          </w:tcPr>
          <w:p>
            <w:pPr>
              <w:keepNext w:val="0"/>
              <w:keepLines w:val="0"/>
              <w:widowControl/>
              <w:suppressLineNumbers w:val="0"/>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2.00%-2.80%</w:t>
            </w:r>
          </w:p>
        </w:tc>
      </w:tr>
    </w:tbl>
    <w:p>
      <w:pPr>
        <w:spacing w:line="520" w:lineRule="exact"/>
        <w:ind w:firstLine="565" w:firstLineChars="202"/>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业绩比较基准为管理人对本产品所设定的投资目标，不代表理财产品未来表现，不等于理财产品实际收益，不构成管理人对产品实际投资收益率的承</w:t>
      </w:r>
      <w:bookmarkStart w:id="0" w:name="_GoBack"/>
      <w:bookmarkEnd w:id="0"/>
      <w:r>
        <w:rPr>
          <w:rFonts w:hint="eastAsia" w:ascii="楷体" w:hAnsi="楷体" w:eastAsia="楷体" w:cs="Times New Roman"/>
          <w:sz w:val="28"/>
          <w:szCs w:val="28"/>
          <w:lang w:val="en-US" w:eastAsia="zh-CN"/>
        </w:rPr>
        <w:t>诺或担保，投资者的实际收益由产品净值表现决定。</w:t>
      </w:r>
    </w:p>
    <w:p>
      <w:pPr>
        <w:pStyle w:val="2"/>
        <w:ind w:firstLine="560" w:firstLineChars="200"/>
        <w:rPr>
          <w:rFonts w:hint="default"/>
          <w:lang w:val="en-US" w:eastAsia="zh-CN"/>
        </w:rPr>
      </w:pPr>
      <w:r>
        <w:rPr>
          <w:rFonts w:hint="eastAsia" w:ascii="楷体" w:hAnsi="楷体" w:eastAsia="楷体"/>
          <w:sz w:val="28"/>
          <w:szCs w:val="28"/>
          <w:lang w:val="en-US" w:eastAsia="zh-CN"/>
        </w:rPr>
        <w:t>上述调整将于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18日起生效，投资者如不接受本次公告所述调整，可于</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9日至</w:t>
      </w:r>
      <w:r>
        <w:rPr>
          <w:rFonts w:hint="eastAsia" w:ascii="楷体" w:hAnsi="楷体" w:eastAsia="楷体"/>
          <w:sz w:val="28"/>
          <w:szCs w:val="28"/>
        </w:rPr>
        <w:t>202</w:t>
      </w:r>
      <w:r>
        <w:rPr>
          <w:rFonts w:hint="eastAsia" w:ascii="楷体" w:hAnsi="楷体" w:eastAsia="楷体"/>
          <w:sz w:val="28"/>
          <w:szCs w:val="28"/>
          <w:lang w:val="en-US" w:eastAsia="zh-CN"/>
        </w:rPr>
        <w:t>5</w:t>
      </w:r>
      <w:r>
        <w:rPr>
          <w:rFonts w:hint="eastAsia" w:ascii="楷体" w:hAnsi="楷体" w:eastAsia="楷体"/>
          <w:sz w:val="28"/>
          <w:szCs w:val="28"/>
        </w:rPr>
        <w:t>年</w:t>
      </w:r>
      <w:r>
        <w:rPr>
          <w:rFonts w:hint="eastAsia" w:ascii="楷体" w:hAnsi="楷体" w:eastAsia="楷体"/>
          <w:sz w:val="28"/>
          <w:szCs w:val="28"/>
          <w:lang w:val="en-US" w:eastAsia="zh-CN"/>
        </w:rPr>
        <w:t>12</w:t>
      </w:r>
      <w:r>
        <w:rPr>
          <w:rFonts w:hint="eastAsia" w:ascii="楷体" w:hAnsi="楷体" w:eastAsia="楷体"/>
          <w:sz w:val="28"/>
          <w:szCs w:val="28"/>
        </w:rPr>
        <w:t>月</w:t>
      </w:r>
      <w:r>
        <w:rPr>
          <w:rFonts w:hint="eastAsia" w:ascii="楷体" w:hAnsi="楷体" w:eastAsia="楷体"/>
          <w:sz w:val="28"/>
          <w:szCs w:val="28"/>
          <w:lang w:val="en-US" w:eastAsia="zh-CN"/>
        </w:rPr>
        <w:t>17日产品开放期内提出赎回申请；若投资者逾期未提出赎回申请，则视为接受上述调整事项。</w:t>
      </w:r>
    </w:p>
    <w:p>
      <w:pPr>
        <w:spacing w:line="520" w:lineRule="exact"/>
        <w:ind w:firstLine="565" w:firstLineChars="202"/>
        <w:rPr>
          <w:rFonts w:hint="eastAsia" w:ascii="楷体" w:hAnsi="楷体" w:eastAsia="楷体"/>
          <w:sz w:val="28"/>
          <w:szCs w:val="28"/>
          <w:lang w:val="en-US" w:eastAsia="zh-CN"/>
        </w:rPr>
      </w:pPr>
      <w:r>
        <w:rPr>
          <w:rFonts w:hint="eastAsia" w:ascii="楷体" w:hAnsi="楷体" w:eastAsia="楷体"/>
          <w:sz w:val="28"/>
          <w:szCs w:val="28"/>
          <w:lang w:val="en-US" w:eastAsia="zh-CN"/>
        </w:rPr>
        <w:t>投资者可通过原理财产品合同约定的信息披露渠道查询更新后的理财产品合同。</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特此报告。</w:t>
      </w:r>
    </w:p>
    <w:p>
      <w:pPr>
        <w:pStyle w:val="11"/>
        <w:spacing w:before="0" w:beforeAutospacing="0" w:after="0" w:afterAutospacing="0" w:line="480" w:lineRule="auto"/>
        <w:ind w:firstLine="560" w:firstLineChars="200"/>
        <w:rPr>
          <w:rFonts w:hint="eastAsia" w:ascii="楷体" w:hAnsi="楷体" w:eastAsia="楷体" w:cs="Times New Roman"/>
          <w:sz w:val="28"/>
          <w:szCs w:val="28"/>
        </w:rPr>
      </w:pPr>
      <w:r>
        <w:rPr>
          <w:rFonts w:hint="eastAsia" w:ascii="楷体" w:hAnsi="楷体" w:eastAsia="楷体" w:cs="Times New Roman"/>
          <w:sz w:val="28"/>
          <w:szCs w:val="28"/>
        </w:rPr>
        <w:t>感谢您投资苏银理财本期理财产品，敬请继续关注我司近期推出的其他理财产品。</w:t>
      </w:r>
    </w:p>
    <w:p>
      <w:pPr>
        <w:spacing w:line="52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kern w:val="0"/>
          <w:sz w:val="24"/>
          <w:szCs w:val="24"/>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12</w:t>
      </w:r>
      <w:r>
        <w:rPr>
          <w:rFonts w:hint="eastAsia" w:ascii="楷体" w:hAnsi="楷体" w:eastAsia="楷体"/>
          <w:kern w:val="0"/>
          <w:sz w:val="28"/>
          <w:szCs w:val="28"/>
        </w:rPr>
        <w:t>月</w:t>
      </w:r>
      <w:r>
        <w:rPr>
          <w:rFonts w:hint="eastAsia" w:ascii="楷体" w:hAnsi="楷体" w:eastAsia="楷体"/>
          <w:kern w:val="0"/>
          <w:sz w:val="28"/>
          <w:szCs w:val="28"/>
          <w:lang w:val="en-US" w:eastAsia="zh-CN"/>
        </w:rPr>
        <w:t>1</w:t>
      </w:r>
      <w:r>
        <w:rPr>
          <w:rFonts w:hint="eastAsia" w:ascii="楷体" w:hAnsi="楷体" w:eastAsia="楷体"/>
          <w:kern w:val="0"/>
          <w:sz w:val="28"/>
          <w:szCs w:val="28"/>
        </w:rPr>
        <w:t>日</w:t>
      </w:r>
    </w:p>
    <w:p>
      <w:pPr>
        <w:spacing w:line="520" w:lineRule="exact"/>
        <w:rPr>
          <w:rFonts w:hint="eastAsia"/>
        </w:rPr>
      </w:pPr>
    </w:p>
    <w:p>
      <w:pPr>
        <w:spacing w:line="520" w:lineRule="exact"/>
        <w:rPr>
          <w:rFonts w:hint="eastAsia"/>
        </w:rPr>
      </w:pPr>
    </w:p>
    <w:p>
      <w:pPr>
        <w:spacing w:line="520" w:lineRule="exact"/>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spacing w:line="520" w:lineRule="exact"/>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C6765"/>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0F9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45565FB"/>
    <w:rsid w:val="05C24554"/>
    <w:rsid w:val="07731EDA"/>
    <w:rsid w:val="0784404A"/>
    <w:rsid w:val="099D0555"/>
    <w:rsid w:val="0AA66B07"/>
    <w:rsid w:val="0BA66D62"/>
    <w:rsid w:val="0C2E7DE5"/>
    <w:rsid w:val="0DAF4280"/>
    <w:rsid w:val="0EF5090E"/>
    <w:rsid w:val="103A4EAF"/>
    <w:rsid w:val="10707444"/>
    <w:rsid w:val="10E55ACF"/>
    <w:rsid w:val="138D6E1B"/>
    <w:rsid w:val="14030913"/>
    <w:rsid w:val="154C69AD"/>
    <w:rsid w:val="15CF287D"/>
    <w:rsid w:val="15D4371D"/>
    <w:rsid w:val="16116348"/>
    <w:rsid w:val="163816F1"/>
    <w:rsid w:val="18106956"/>
    <w:rsid w:val="18F736C2"/>
    <w:rsid w:val="192B0D84"/>
    <w:rsid w:val="1A4E3859"/>
    <w:rsid w:val="1AC763E3"/>
    <w:rsid w:val="1B664B02"/>
    <w:rsid w:val="1CD77CF3"/>
    <w:rsid w:val="1CE34318"/>
    <w:rsid w:val="1E370F59"/>
    <w:rsid w:val="1E996BC3"/>
    <w:rsid w:val="1F7946A4"/>
    <w:rsid w:val="1FE92EB2"/>
    <w:rsid w:val="224E07D6"/>
    <w:rsid w:val="22E01A46"/>
    <w:rsid w:val="28183520"/>
    <w:rsid w:val="286E0463"/>
    <w:rsid w:val="290918A1"/>
    <w:rsid w:val="2A3744FF"/>
    <w:rsid w:val="2BC035CC"/>
    <w:rsid w:val="2EB879E5"/>
    <w:rsid w:val="2FD10999"/>
    <w:rsid w:val="31996E41"/>
    <w:rsid w:val="33346C59"/>
    <w:rsid w:val="34622BDD"/>
    <w:rsid w:val="34CF2843"/>
    <w:rsid w:val="34D26D17"/>
    <w:rsid w:val="35C75C95"/>
    <w:rsid w:val="36A2045D"/>
    <w:rsid w:val="39AE79B4"/>
    <w:rsid w:val="3ABF7DB8"/>
    <w:rsid w:val="3AFF4350"/>
    <w:rsid w:val="3E5206FE"/>
    <w:rsid w:val="45EB52C6"/>
    <w:rsid w:val="46185D1F"/>
    <w:rsid w:val="482B6C56"/>
    <w:rsid w:val="49AE47A5"/>
    <w:rsid w:val="4A1C7F33"/>
    <w:rsid w:val="4ACF7A75"/>
    <w:rsid w:val="4B43165C"/>
    <w:rsid w:val="4C675C96"/>
    <w:rsid w:val="4DE250C0"/>
    <w:rsid w:val="4F40507F"/>
    <w:rsid w:val="4F9C5574"/>
    <w:rsid w:val="4FF91545"/>
    <w:rsid w:val="52020F9B"/>
    <w:rsid w:val="527D382B"/>
    <w:rsid w:val="528638F8"/>
    <w:rsid w:val="53E1377B"/>
    <w:rsid w:val="550E6F94"/>
    <w:rsid w:val="55170CA3"/>
    <w:rsid w:val="554B526C"/>
    <w:rsid w:val="57023ADC"/>
    <w:rsid w:val="582F3CF4"/>
    <w:rsid w:val="58693E4E"/>
    <w:rsid w:val="58A27E95"/>
    <w:rsid w:val="5AED3DD9"/>
    <w:rsid w:val="5BAF5CDC"/>
    <w:rsid w:val="5D0143FE"/>
    <w:rsid w:val="621D43C7"/>
    <w:rsid w:val="629B7BA9"/>
    <w:rsid w:val="639B4440"/>
    <w:rsid w:val="63A51256"/>
    <w:rsid w:val="63CD2A95"/>
    <w:rsid w:val="65F20436"/>
    <w:rsid w:val="66B44B18"/>
    <w:rsid w:val="67B37391"/>
    <w:rsid w:val="69C04ABB"/>
    <w:rsid w:val="6AC25DB6"/>
    <w:rsid w:val="6ACE4D37"/>
    <w:rsid w:val="6D533A1E"/>
    <w:rsid w:val="6E584699"/>
    <w:rsid w:val="7396760B"/>
    <w:rsid w:val="73B82F5E"/>
    <w:rsid w:val="74966354"/>
    <w:rsid w:val="76004113"/>
    <w:rsid w:val="76442DB5"/>
    <w:rsid w:val="76816DDF"/>
    <w:rsid w:val="77667C2A"/>
    <w:rsid w:val="7B0A6242"/>
    <w:rsid w:val="7B4D1255"/>
    <w:rsid w:val="7C315F08"/>
    <w:rsid w:val="7EA118FD"/>
    <w:rsid w:val="7F685EF5"/>
    <w:rsid w:val="7FBA20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57</Words>
  <Characters>327</Characters>
  <Lines>2</Lines>
  <Paragraphs>1</Paragraphs>
  <TotalTime>9</TotalTime>
  <ScaleCrop>false</ScaleCrop>
  <LinksUpToDate>false</LinksUpToDate>
  <CharactersWithSpaces>383</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lhy</cp:lastModifiedBy>
  <cp:lastPrinted>2022-06-20T06:27:00Z</cp:lastPrinted>
  <dcterms:modified xsi:type="dcterms:W3CDTF">2025-11-25T02:05:33Z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33A5801E3C924A338C71F2D7968D8B20</vt:lpwstr>
  </property>
</Properties>
</file>