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“苏银理财恒源1年定开15期（绿色ESG主题）”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苏银理财恒源1年定开15期（绿色ESG主题）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18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>信息如下：</w:t>
      </w:r>
      <w:bookmarkStart w:id="0" w:name="_GoBack"/>
      <w:bookmarkEnd w:id="0"/>
      <w:r>
        <w:rPr>
          <w:rFonts w:ascii="楷体" w:hAnsi="楷体" w:eastAsia="楷体" w:cs="Times New Roman"/>
          <w:sz w:val="28"/>
          <w:szCs w:val="28"/>
        </w:rPr>
        <w:t xml:space="preserve"> </w:t>
      </w:r>
    </w:p>
    <w:tbl>
      <w:tblPr>
        <w:tblStyle w:val="9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苏银理财恒源1年定开15期（绿色ESG主题）C/J08733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苏银理财恒源1年定开15期（绿色ESG主题）P/J09805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苏银理财恒源1年定开15期（绿色ESG主题）T/J09806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苏银理财恒源1年定开15期（绿色ESG主题）ZN（自动赎回）/J09807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苏银理财恒源1年定开15期（绿色ESG主题）ZQ（自动赎回）/J09808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242,704,337.00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38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18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18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1771DDB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2025-11-19T00:58:12Z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