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keepNext w:val="0"/>
        <w:keepLines w:val="0"/>
        <w:pageBreakBefore w:val="0"/>
        <w:widowControl/>
        <w:kinsoku/>
        <w:wordWrap/>
        <w:overflowPunct/>
        <w:topLinePunct w:val="0"/>
        <w:autoSpaceDE/>
        <w:autoSpaceDN/>
        <w:bidi w:val="0"/>
        <w:adjustRightInd/>
        <w:snapToGrid/>
        <w:spacing w:before="156" w:beforeLines="50" w:beforeAutospacing="0" w:after="0" w:afterAutospacing="0" w:line="240" w:lineRule="auto"/>
        <w:jc w:val="center"/>
        <w:textAlignment w:val="auto"/>
        <w:outlineLvl w:val="9"/>
        <w:rPr>
          <w:rFonts w:hint="eastAsia" w:ascii="楷体" w:hAnsi="楷体" w:eastAsia="楷体" w:cs="楷体"/>
          <w:b/>
          <w:bCs/>
          <w:color w:val="000000"/>
          <w:sz w:val="32"/>
        </w:rPr>
      </w:pPr>
      <w:r>
        <w:rPr>
          <w:rFonts w:hint="eastAsia" w:ascii="楷体" w:hAnsi="楷体" w:eastAsia="楷体" w:cs="楷体"/>
          <w:b/>
          <w:bCs/>
          <w:color w:val="000000"/>
          <w:sz w:val="32"/>
        </w:rPr>
        <w:t>关于调整“苏银理财</w:t>
      </w:r>
      <w:r>
        <w:rPr>
          <w:rFonts w:hint="eastAsia" w:ascii="楷体" w:hAnsi="楷体" w:eastAsia="楷体" w:cs="楷体"/>
          <w:b/>
          <w:bCs/>
          <w:color w:val="000000"/>
          <w:sz w:val="32"/>
          <w:lang w:eastAsia="zh-CN"/>
        </w:rPr>
        <w:t>恒源1年定开30期</w:t>
      </w:r>
      <w:r>
        <w:rPr>
          <w:rFonts w:hint="eastAsia" w:ascii="楷体" w:hAnsi="楷体" w:eastAsia="楷体" w:cs="楷体"/>
          <w:b/>
          <w:bCs/>
          <w:color w:val="000000"/>
          <w:sz w:val="32"/>
        </w:rPr>
        <w:t>”</w:t>
      </w:r>
    </w:p>
    <w:p>
      <w:pPr>
        <w:pStyle w:val="11"/>
        <w:keepNext w:val="0"/>
        <w:keepLines w:val="0"/>
        <w:pageBreakBefore w:val="0"/>
        <w:widowControl/>
        <w:kinsoku/>
        <w:wordWrap/>
        <w:overflowPunct/>
        <w:topLinePunct w:val="0"/>
        <w:autoSpaceDE/>
        <w:autoSpaceDN/>
        <w:bidi w:val="0"/>
        <w:adjustRightInd/>
        <w:snapToGrid/>
        <w:spacing w:before="0" w:beforeAutospacing="0" w:after="156" w:afterLines="50" w:afterAutospacing="0" w:line="240" w:lineRule="auto"/>
        <w:jc w:val="center"/>
        <w:textAlignment w:val="auto"/>
        <w:outlineLvl w:val="9"/>
        <w:rPr>
          <w:rFonts w:hint="eastAsia" w:ascii="楷体" w:hAnsi="楷体" w:eastAsia="楷体"/>
          <w:sz w:val="28"/>
          <w:szCs w:val="28"/>
        </w:rPr>
      </w:pPr>
      <w:r>
        <w:rPr>
          <w:rFonts w:hint="eastAsia" w:ascii="楷体" w:hAnsi="楷体" w:eastAsia="楷体" w:cs="楷体"/>
          <w:b/>
          <w:bCs/>
          <w:color w:val="000000"/>
          <w:sz w:val="32"/>
        </w:rPr>
        <w:t>理财产品要素的公告</w:t>
      </w:r>
    </w:p>
    <w:p>
      <w:pPr>
        <w:pStyle w:val="11"/>
        <w:keepNext w:val="0"/>
        <w:keepLines w:val="0"/>
        <w:pageBreakBefore w:val="0"/>
        <w:widowControl/>
        <w:kinsoku/>
        <w:wordWrap/>
        <w:overflowPunct/>
        <w:topLinePunct w:val="0"/>
        <w:autoSpaceDE/>
        <w:autoSpaceDN/>
        <w:bidi w:val="0"/>
        <w:adjustRightInd/>
        <w:snapToGrid/>
        <w:spacing w:before="0" w:beforeAutospacing="0" w:after="156" w:afterLines="50" w:afterAutospacing="0" w:line="240" w:lineRule="auto"/>
        <w:jc w:val="both"/>
        <w:textAlignment w:val="auto"/>
        <w:outlineLvl w:val="9"/>
        <w:rPr>
          <w:rFonts w:hint="eastAsia" w:ascii="楷体" w:hAnsi="楷体" w:eastAsia="楷体"/>
          <w:sz w:val="28"/>
          <w:szCs w:val="28"/>
          <w:lang w:val="en-US" w:eastAsia="zh-CN"/>
        </w:rPr>
      </w:pPr>
      <w:r>
        <w:rPr>
          <w:rFonts w:hint="eastAsia" w:ascii="楷体" w:hAnsi="楷体" w:eastAsia="楷体"/>
          <w:sz w:val="28"/>
          <w:szCs w:val="28"/>
        </w:rPr>
        <w:t>尊敬的客户：</w:t>
      </w:r>
    </w:p>
    <w:p>
      <w:pPr>
        <w:pStyle w:val="30"/>
        <w:kinsoku w:val="0"/>
        <w:overflowPunct w:val="0"/>
        <w:spacing w:before="12"/>
        <w:ind w:right="73" w:rightChars="35" w:firstLine="560" w:firstLineChars="200"/>
        <w:jc w:val="both"/>
        <w:rPr>
          <w:rFonts w:hint="eastAsia" w:ascii="楷体" w:hAnsi="楷体" w:eastAsia="楷体"/>
          <w:sz w:val="28"/>
          <w:szCs w:val="28"/>
        </w:rPr>
      </w:pPr>
      <w:r>
        <w:rPr>
          <w:rFonts w:hint="eastAsia" w:ascii="楷体" w:hAnsi="楷体" w:eastAsia="楷体"/>
          <w:sz w:val="28"/>
          <w:szCs w:val="28"/>
        </w:rPr>
        <w:t>“苏银理财</w:t>
      </w:r>
      <w:r>
        <w:rPr>
          <w:rFonts w:hint="eastAsia" w:ascii="楷体" w:hAnsi="楷体" w:eastAsia="楷体"/>
          <w:sz w:val="28"/>
          <w:szCs w:val="28"/>
          <w:lang w:eastAsia="zh-CN"/>
        </w:rPr>
        <w:t>恒源1年定开30期</w:t>
      </w:r>
      <w:r>
        <w:rPr>
          <w:rFonts w:hint="eastAsia" w:ascii="楷体" w:hAnsi="楷体" w:eastAsia="楷体"/>
          <w:sz w:val="28"/>
          <w:szCs w:val="28"/>
        </w:rPr>
        <w:t>”理财产品将于</w:t>
      </w:r>
      <w:r>
        <w:rPr>
          <w:rFonts w:hint="eastAsia" w:ascii="楷体" w:hAnsi="楷体" w:eastAsia="楷体"/>
          <w:sz w:val="28"/>
          <w:szCs w:val="28"/>
          <w:lang w:eastAsia="zh-CN"/>
        </w:rPr>
        <w:t>202</w:t>
      </w:r>
      <w:r>
        <w:rPr>
          <w:rFonts w:hint="eastAsia" w:ascii="楷体" w:hAnsi="楷体" w:eastAsia="楷体"/>
          <w:sz w:val="28"/>
          <w:szCs w:val="28"/>
          <w:lang w:val="en-US" w:eastAsia="zh-CN"/>
        </w:rPr>
        <w:t>5</w:t>
      </w:r>
      <w:r>
        <w:rPr>
          <w:rFonts w:hint="eastAsia" w:ascii="楷体" w:hAnsi="楷体" w:eastAsia="楷体"/>
          <w:sz w:val="28"/>
          <w:szCs w:val="28"/>
          <w:lang w:eastAsia="zh-CN"/>
        </w:rPr>
        <w:t>年</w:t>
      </w:r>
      <w:r>
        <w:rPr>
          <w:rFonts w:hint="eastAsia" w:ascii="楷体" w:hAnsi="楷体" w:eastAsia="楷体"/>
          <w:sz w:val="28"/>
          <w:szCs w:val="28"/>
          <w:lang w:val="en-US" w:eastAsia="zh-CN"/>
        </w:rPr>
        <w:t>10</w:t>
      </w:r>
      <w:r>
        <w:rPr>
          <w:rFonts w:hint="eastAsia" w:ascii="楷体" w:hAnsi="楷体" w:eastAsia="楷体"/>
          <w:sz w:val="28"/>
          <w:szCs w:val="28"/>
          <w:lang w:eastAsia="zh-CN"/>
        </w:rPr>
        <w:t>月</w:t>
      </w:r>
      <w:r>
        <w:rPr>
          <w:rFonts w:hint="eastAsia" w:ascii="楷体" w:hAnsi="楷体" w:eastAsia="楷体"/>
          <w:sz w:val="28"/>
          <w:szCs w:val="28"/>
          <w:lang w:val="en-US" w:eastAsia="zh-CN"/>
        </w:rPr>
        <w:t>31</w:t>
      </w:r>
      <w:r>
        <w:rPr>
          <w:rFonts w:hint="eastAsia" w:ascii="楷体" w:hAnsi="楷体" w:eastAsia="楷体"/>
          <w:sz w:val="28"/>
          <w:szCs w:val="28"/>
          <w:lang w:eastAsia="zh-CN"/>
        </w:rPr>
        <w:t>日至202</w:t>
      </w:r>
      <w:r>
        <w:rPr>
          <w:rFonts w:hint="eastAsia" w:ascii="楷体" w:hAnsi="楷体" w:eastAsia="楷体"/>
          <w:sz w:val="28"/>
          <w:szCs w:val="28"/>
          <w:lang w:val="en-US" w:eastAsia="zh-CN"/>
        </w:rPr>
        <w:t>5</w:t>
      </w:r>
      <w:r>
        <w:rPr>
          <w:rFonts w:hint="eastAsia" w:ascii="楷体" w:hAnsi="楷体" w:eastAsia="楷体"/>
          <w:sz w:val="28"/>
          <w:szCs w:val="28"/>
          <w:lang w:eastAsia="zh-CN"/>
        </w:rPr>
        <w:t>年</w:t>
      </w:r>
      <w:r>
        <w:rPr>
          <w:rFonts w:hint="eastAsia" w:ascii="楷体" w:hAnsi="楷体" w:eastAsia="楷体"/>
          <w:sz w:val="28"/>
          <w:szCs w:val="28"/>
          <w:lang w:val="en-US" w:eastAsia="zh-CN"/>
        </w:rPr>
        <w:t>11</w:t>
      </w:r>
      <w:r>
        <w:rPr>
          <w:rFonts w:hint="eastAsia" w:ascii="楷体" w:hAnsi="楷体" w:eastAsia="楷体"/>
          <w:sz w:val="28"/>
          <w:szCs w:val="28"/>
          <w:lang w:eastAsia="zh-CN"/>
        </w:rPr>
        <w:t>月</w:t>
      </w:r>
      <w:r>
        <w:rPr>
          <w:rFonts w:hint="eastAsia" w:ascii="楷体" w:hAnsi="楷体" w:eastAsia="楷体"/>
          <w:sz w:val="28"/>
          <w:szCs w:val="28"/>
          <w:lang w:val="en-US" w:eastAsia="zh-CN"/>
        </w:rPr>
        <w:t>10</w:t>
      </w:r>
      <w:r>
        <w:rPr>
          <w:rFonts w:hint="eastAsia" w:ascii="楷体" w:hAnsi="楷体" w:eastAsia="楷体"/>
          <w:sz w:val="28"/>
          <w:szCs w:val="28"/>
          <w:lang w:eastAsia="zh-CN"/>
        </w:rPr>
        <w:t>日</w:t>
      </w:r>
      <w:r>
        <w:rPr>
          <w:rFonts w:hint="eastAsia" w:ascii="楷体" w:hAnsi="楷体" w:eastAsia="楷体"/>
          <w:sz w:val="28"/>
          <w:szCs w:val="28"/>
        </w:rPr>
        <w:t>开放申赎，苏银理财现对该产品要素进行调整，具体如下：</w:t>
      </w:r>
    </w:p>
    <w:p>
      <w:pPr>
        <w:pStyle w:val="11"/>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240" w:lineRule="auto"/>
        <w:ind w:firstLine="560" w:firstLineChars="200"/>
        <w:textAlignment w:val="auto"/>
        <w:outlineLvl w:val="9"/>
        <w:rPr>
          <w:rFonts w:hint="default" w:ascii="楷体" w:hAnsi="楷体" w:eastAsia="楷体" w:cs="Times New Roman"/>
          <w:sz w:val="28"/>
          <w:szCs w:val="28"/>
          <w:lang w:val="en-US"/>
        </w:rPr>
      </w:pPr>
      <w:r>
        <w:rPr>
          <w:rFonts w:hint="eastAsia" w:ascii="楷体" w:hAnsi="楷体" w:eastAsia="楷体" w:cs="Times New Roman"/>
          <w:sz w:val="28"/>
          <w:szCs w:val="28"/>
          <w:lang w:eastAsia="zh-CN"/>
        </w:rPr>
        <w:t>（</w:t>
      </w:r>
      <w:r>
        <w:rPr>
          <w:rFonts w:hint="eastAsia" w:ascii="楷体" w:hAnsi="楷体" w:eastAsia="楷体" w:cs="Times New Roman"/>
          <w:sz w:val="28"/>
          <w:szCs w:val="28"/>
          <w:lang w:val="en-US" w:eastAsia="zh-CN"/>
        </w:rPr>
        <w:t>1）新增份额</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2"/>
        <w:gridCol w:w="63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1" w:hRule="atLeast"/>
          <w:jc w:val="center"/>
        </w:trPr>
        <w:tc>
          <w:tcPr>
            <w:tcW w:w="2052" w:type="dxa"/>
            <w:noWrap w:val="0"/>
            <w:vAlign w:val="center"/>
          </w:tcPr>
          <w:p>
            <w:pPr>
              <w:pStyle w:val="11"/>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jc w:val="left"/>
              <w:textAlignment w:val="auto"/>
              <w:outlineLvl w:val="9"/>
              <w:rPr>
                <w:rFonts w:hint="eastAsia" w:ascii="楷体" w:hAnsi="楷体" w:eastAsia="楷体" w:cs="Times New Roman"/>
                <w:sz w:val="21"/>
                <w:szCs w:val="21"/>
                <w:vertAlign w:val="baseline"/>
              </w:rPr>
            </w:pPr>
            <w:r>
              <w:rPr>
                <w:rFonts w:hint="eastAsia" w:ascii="楷体" w:hAnsi="楷体" w:eastAsia="楷体" w:cs="Times New Roman"/>
                <w:b/>
                <w:bCs/>
                <w:sz w:val="21"/>
                <w:szCs w:val="21"/>
                <w:vertAlign w:val="baseline"/>
                <w:lang w:val="en-US" w:eastAsia="zh-CN"/>
              </w:rPr>
              <w:t>销售简称/销售代码</w:t>
            </w:r>
          </w:p>
        </w:tc>
        <w:tc>
          <w:tcPr>
            <w:tcW w:w="6383" w:type="dxa"/>
            <w:noWrap w:val="0"/>
            <w:vAlign w:val="center"/>
          </w:tcPr>
          <w:p>
            <w:pPr>
              <w:pStyle w:val="30"/>
              <w:kinsoku w:val="0"/>
              <w:overflowPunct w:val="0"/>
              <w:spacing w:before="12"/>
              <w:ind w:right="73" w:rightChars="35"/>
              <w:jc w:val="both"/>
              <w:rPr>
                <w:rFonts w:hint="default" w:ascii="楷体" w:hAnsi="楷体" w:eastAsia="楷体" w:cs="宋体"/>
                <w:spacing w:val="-2"/>
                <w:sz w:val="21"/>
                <w:szCs w:val="21"/>
                <w:highlight w:val="yellow"/>
                <w:lang w:val="en-US" w:eastAsia="zh-CN"/>
              </w:rPr>
            </w:pP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1"/>
              <w:gridCol w:w="3856"/>
              <w:gridCol w:w="13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1"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textAlignment w:val="auto"/>
                    <w:rPr>
                      <w:rFonts w:hint="default" w:ascii="楷体" w:hAnsi="楷体" w:eastAsia="楷体" w:cs="宋体"/>
                      <w:b/>
                      <w:bCs/>
                      <w:spacing w:val="-2"/>
                      <w:sz w:val="18"/>
                      <w:szCs w:val="18"/>
                      <w:highlight w:val="none"/>
                      <w:vertAlign w:val="baseline"/>
                      <w:lang w:val="en-US" w:eastAsia="zh-CN"/>
                    </w:rPr>
                  </w:pPr>
                  <w:r>
                    <w:rPr>
                      <w:rFonts w:hint="eastAsia" w:ascii="楷体" w:hAnsi="楷体" w:eastAsia="楷体" w:cs="宋体"/>
                      <w:b/>
                      <w:bCs/>
                      <w:spacing w:val="-2"/>
                      <w:sz w:val="18"/>
                      <w:szCs w:val="18"/>
                      <w:highlight w:val="none"/>
                      <w:vertAlign w:val="baseline"/>
                      <w:lang w:val="en-US" w:eastAsia="zh-CN"/>
                    </w:rPr>
                    <w:t>份额</w:t>
                  </w:r>
                </w:p>
              </w:tc>
              <w:tc>
                <w:tcPr>
                  <w:tcW w:w="3856"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textAlignment w:val="auto"/>
                    <w:rPr>
                      <w:rFonts w:hint="eastAsia" w:ascii="楷体" w:hAnsi="楷体" w:eastAsia="楷体" w:cs="宋体"/>
                      <w:b/>
                      <w:bCs/>
                      <w:spacing w:val="-2"/>
                      <w:sz w:val="18"/>
                      <w:szCs w:val="18"/>
                      <w:highlight w:val="none"/>
                      <w:vertAlign w:val="baseline"/>
                      <w:lang w:val="en-US" w:eastAsia="zh-CN"/>
                    </w:rPr>
                  </w:pPr>
                  <w:r>
                    <w:rPr>
                      <w:rFonts w:hint="eastAsia" w:ascii="楷体" w:hAnsi="楷体" w:eastAsia="楷体" w:cs="宋体"/>
                      <w:b/>
                      <w:bCs/>
                      <w:spacing w:val="-2"/>
                      <w:sz w:val="18"/>
                      <w:szCs w:val="18"/>
                      <w:highlight w:val="none"/>
                      <w:vertAlign w:val="baseline"/>
                      <w:lang w:val="en-US" w:eastAsia="zh-CN"/>
                    </w:rPr>
                    <w:t>销售简称</w:t>
                  </w:r>
                </w:p>
              </w:tc>
              <w:tc>
                <w:tcPr>
                  <w:tcW w:w="1312"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textAlignment w:val="auto"/>
                    <w:rPr>
                      <w:rFonts w:hint="default" w:ascii="楷体" w:hAnsi="楷体" w:eastAsia="楷体" w:cs="宋体"/>
                      <w:b/>
                      <w:bCs/>
                      <w:spacing w:val="-2"/>
                      <w:sz w:val="18"/>
                      <w:szCs w:val="18"/>
                      <w:highlight w:val="none"/>
                      <w:vertAlign w:val="baseline"/>
                      <w:lang w:val="en-US"/>
                    </w:rPr>
                  </w:pPr>
                  <w:r>
                    <w:rPr>
                      <w:rFonts w:hint="eastAsia" w:ascii="楷体" w:hAnsi="楷体" w:eastAsia="楷体" w:cs="宋体"/>
                      <w:b/>
                      <w:bCs/>
                      <w:spacing w:val="-2"/>
                      <w:sz w:val="18"/>
                      <w:szCs w:val="18"/>
                      <w:highlight w:val="none"/>
                      <w:vertAlign w:val="baseline"/>
                      <w:lang w:val="en-US" w:eastAsia="zh-CN"/>
                    </w:rPr>
                    <w:t>销售代码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1"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P份额</w:t>
                  </w:r>
                </w:p>
              </w:tc>
              <w:tc>
                <w:tcPr>
                  <w:tcW w:w="3856"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宋体"/>
                      <w:spacing w:val="-2"/>
                      <w:sz w:val="18"/>
                      <w:szCs w:val="18"/>
                      <w:highlight w:val="none"/>
                    </w:rPr>
                    <w:t>苏银理财</w:t>
                  </w:r>
                  <w:r>
                    <w:rPr>
                      <w:rFonts w:hint="eastAsia" w:ascii="楷体" w:hAnsi="楷体" w:eastAsia="楷体" w:cs="宋体"/>
                      <w:spacing w:val="-2"/>
                      <w:sz w:val="18"/>
                      <w:szCs w:val="18"/>
                      <w:highlight w:val="none"/>
                      <w:lang w:eastAsia="zh-CN"/>
                    </w:rPr>
                    <w:t>恒源1年定开30期</w:t>
                  </w:r>
                  <w:r>
                    <w:rPr>
                      <w:rFonts w:hint="eastAsia" w:ascii="楷体" w:hAnsi="楷体" w:eastAsia="楷体" w:cs="宋体"/>
                      <w:spacing w:val="-2"/>
                      <w:sz w:val="18"/>
                      <w:szCs w:val="18"/>
                      <w:highlight w:val="none"/>
                      <w:lang w:val="en-US" w:eastAsia="zh-CN"/>
                    </w:rPr>
                    <w:t>P</w:t>
                  </w:r>
                </w:p>
              </w:tc>
              <w:tc>
                <w:tcPr>
                  <w:tcW w:w="131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宋体"/>
                      <w:spacing w:val="-2"/>
                      <w:kern w:val="0"/>
                      <w:sz w:val="18"/>
                      <w:szCs w:val="18"/>
                      <w:highlight w:val="none"/>
                      <w:lang w:val="en-US" w:eastAsia="zh-CN" w:bidi="ar-SA"/>
                    </w:rPr>
                    <w:t>J09507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1"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T份额</w:t>
                  </w:r>
                </w:p>
              </w:tc>
              <w:tc>
                <w:tcPr>
                  <w:tcW w:w="3856"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default" w:ascii="楷体" w:hAnsi="楷体" w:eastAsia="楷体" w:cs="宋体"/>
                      <w:spacing w:val="-2"/>
                      <w:sz w:val="18"/>
                      <w:szCs w:val="18"/>
                      <w:highlight w:val="none"/>
                      <w:lang w:val="en-US"/>
                    </w:rPr>
                  </w:pPr>
                  <w:r>
                    <w:rPr>
                      <w:rFonts w:hint="eastAsia" w:ascii="楷体" w:hAnsi="楷体" w:eastAsia="楷体" w:cs="宋体"/>
                      <w:spacing w:val="-2"/>
                      <w:sz w:val="18"/>
                      <w:szCs w:val="18"/>
                      <w:highlight w:val="none"/>
                    </w:rPr>
                    <w:t>苏银理财</w:t>
                  </w:r>
                  <w:r>
                    <w:rPr>
                      <w:rFonts w:hint="eastAsia" w:ascii="楷体" w:hAnsi="楷体" w:eastAsia="楷体" w:cs="宋体"/>
                      <w:spacing w:val="-2"/>
                      <w:sz w:val="18"/>
                      <w:szCs w:val="18"/>
                      <w:highlight w:val="none"/>
                      <w:lang w:eastAsia="zh-CN"/>
                    </w:rPr>
                    <w:t>恒源1年定开30期</w:t>
                  </w:r>
                  <w:r>
                    <w:rPr>
                      <w:rFonts w:hint="eastAsia" w:ascii="楷体" w:hAnsi="楷体" w:eastAsia="楷体" w:cs="宋体"/>
                      <w:spacing w:val="-2"/>
                      <w:sz w:val="18"/>
                      <w:szCs w:val="18"/>
                      <w:highlight w:val="none"/>
                      <w:lang w:val="en-US" w:eastAsia="zh-CN"/>
                    </w:rPr>
                    <w:t>T</w:t>
                  </w:r>
                </w:p>
              </w:tc>
              <w:tc>
                <w:tcPr>
                  <w:tcW w:w="131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宋体"/>
                      <w:spacing w:val="-2"/>
                      <w:kern w:val="0"/>
                      <w:sz w:val="18"/>
                      <w:szCs w:val="18"/>
                      <w:highlight w:val="none"/>
                      <w:lang w:val="en-US" w:eastAsia="zh-CN" w:bidi="ar-SA"/>
                    </w:rPr>
                  </w:pPr>
                  <w:r>
                    <w:rPr>
                      <w:rFonts w:hint="eastAsia" w:ascii="楷体" w:hAnsi="楷体" w:eastAsia="楷体" w:cs="宋体"/>
                      <w:spacing w:val="-2"/>
                      <w:kern w:val="0"/>
                      <w:sz w:val="18"/>
                      <w:szCs w:val="18"/>
                      <w:highlight w:val="none"/>
                      <w:lang w:val="en-US" w:eastAsia="zh-CN" w:bidi="ar-SA"/>
                    </w:rPr>
                    <w:t>J09508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1"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ZN份额</w:t>
                  </w:r>
                </w:p>
              </w:tc>
              <w:tc>
                <w:tcPr>
                  <w:tcW w:w="3856"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楷体"/>
                      <w:i w:val="0"/>
                      <w:iCs w:val="0"/>
                      <w:color w:val="000000"/>
                      <w:kern w:val="0"/>
                      <w:sz w:val="18"/>
                      <w:szCs w:val="18"/>
                      <w:highlight w:val="none"/>
                      <w:u w:val="none"/>
                      <w:lang w:val="en-US" w:eastAsia="zh-CN" w:bidi="ar"/>
                    </w:rPr>
                    <w:t>苏银理财恒源1年定开30期ZN（自动赎回）</w:t>
                  </w:r>
                </w:p>
              </w:tc>
              <w:tc>
                <w:tcPr>
                  <w:tcW w:w="131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宋体"/>
                      <w:spacing w:val="-2"/>
                      <w:kern w:val="0"/>
                      <w:sz w:val="18"/>
                      <w:szCs w:val="18"/>
                      <w:highlight w:val="none"/>
                      <w:lang w:val="en-US" w:eastAsia="zh-CN" w:bidi="ar-SA"/>
                    </w:rPr>
                    <w:t>J09509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1"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ZQ份额</w:t>
                  </w:r>
                </w:p>
              </w:tc>
              <w:tc>
                <w:tcPr>
                  <w:tcW w:w="3856"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楷体"/>
                      <w:i w:val="0"/>
                      <w:iCs w:val="0"/>
                      <w:color w:val="000000"/>
                      <w:kern w:val="0"/>
                      <w:sz w:val="18"/>
                      <w:szCs w:val="18"/>
                      <w:highlight w:val="none"/>
                      <w:u w:val="none"/>
                      <w:lang w:val="en-US" w:eastAsia="zh-CN" w:bidi="ar"/>
                    </w:rPr>
                    <w:t>苏银理财恒源1年定开30期ZQ（自动赎回）</w:t>
                  </w:r>
                </w:p>
              </w:tc>
              <w:tc>
                <w:tcPr>
                  <w:tcW w:w="131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宋体"/>
                      <w:spacing w:val="-2"/>
                      <w:kern w:val="0"/>
                      <w:sz w:val="18"/>
                      <w:szCs w:val="18"/>
                      <w:highlight w:val="none"/>
                      <w:lang w:val="en-US" w:eastAsia="zh-CN" w:bidi="ar-SA"/>
                    </w:rPr>
                    <w:t>J09510</w:t>
                  </w:r>
                </w:p>
              </w:tc>
            </w:tr>
          </w:tbl>
          <w:p>
            <w:pPr>
              <w:pStyle w:val="30"/>
              <w:kinsoku w:val="0"/>
              <w:overflowPunct w:val="0"/>
              <w:spacing w:before="12"/>
              <w:ind w:right="73" w:rightChars="35"/>
              <w:jc w:val="both"/>
              <w:rPr>
                <w:rFonts w:hint="default" w:ascii="楷体" w:hAnsi="楷体" w:eastAsia="楷体" w:cs="宋体"/>
                <w:spacing w:val="-2"/>
                <w:sz w:val="21"/>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9" w:hRule="atLeast"/>
          <w:jc w:val="center"/>
        </w:trPr>
        <w:tc>
          <w:tcPr>
            <w:tcW w:w="2052" w:type="dxa"/>
            <w:noWrap w:val="0"/>
            <w:vAlign w:val="center"/>
          </w:tcPr>
          <w:p>
            <w:pPr>
              <w:pStyle w:val="11"/>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jc w:val="left"/>
              <w:textAlignment w:val="auto"/>
              <w:outlineLvl w:val="9"/>
              <w:rPr>
                <w:rFonts w:hint="eastAsia" w:ascii="楷体" w:hAnsi="楷体" w:eastAsia="楷体" w:cs="Times New Roman"/>
                <w:b/>
                <w:bCs/>
                <w:sz w:val="21"/>
                <w:szCs w:val="21"/>
                <w:highlight w:val="yellow"/>
                <w:vertAlign w:val="baseline"/>
              </w:rPr>
            </w:pPr>
            <w:r>
              <w:rPr>
                <w:rFonts w:hint="eastAsia" w:ascii="楷体" w:hAnsi="楷体" w:eastAsia="楷体" w:cs="Times New Roman"/>
                <w:b/>
                <w:bCs/>
                <w:sz w:val="21"/>
                <w:szCs w:val="21"/>
                <w:highlight w:val="none"/>
                <w:vertAlign w:val="baseline"/>
                <w:lang w:val="en-US" w:eastAsia="zh-CN"/>
              </w:rPr>
              <w:t>销售对象</w:t>
            </w:r>
          </w:p>
        </w:tc>
        <w:tc>
          <w:tcPr>
            <w:tcW w:w="6383" w:type="dxa"/>
            <w:noWrap w:val="0"/>
            <w:vAlign w:val="center"/>
          </w:tcPr>
          <w:p>
            <w:pPr>
              <w:pStyle w:val="30"/>
              <w:kinsoku w:val="0"/>
              <w:overflowPunct w:val="0"/>
              <w:spacing w:before="12"/>
              <w:ind w:right="73" w:rightChars="35"/>
              <w:jc w:val="both"/>
              <w:rPr>
                <w:rFonts w:hint="eastAsia" w:ascii="楷体" w:hAnsi="楷体" w:eastAsia="楷体" w:cs="Times New Roman"/>
                <w:b/>
                <w:bCs/>
                <w:sz w:val="21"/>
                <w:szCs w:val="21"/>
                <w:highlight w:val="yellow"/>
                <w:vertAlign w:val="baseline"/>
                <w:lang w:eastAsia="zh-CN"/>
              </w:rPr>
            </w:pP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
              <w:gridCol w:w="51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textAlignment w:val="auto"/>
                    <w:rPr>
                      <w:rFonts w:hint="default" w:ascii="楷体" w:hAnsi="楷体" w:eastAsia="楷体" w:cs="宋体"/>
                      <w:b/>
                      <w:bCs/>
                      <w:spacing w:val="-2"/>
                      <w:sz w:val="18"/>
                      <w:szCs w:val="18"/>
                      <w:highlight w:val="none"/>
                      <w:vertAlign w:val="baseline"/>
                      <w:lang w:val="en-US" w:eastAsia="zh-CN"/>
                    </w:rPr>
                  </w:pPr>
                  <w:r>
                    <w:rPr>
                      <w:rFonts w:hint="eastAsia" w:ascii="楷体" w:hAnsi="楷体" w:eastAsia="楷体" w:cs="宋体"/>
                      <w:b/>
                      <w:bCs/>
                      <w:spacing w:val="-2"/>
                      <w:sz w:val="18"/>
                      <w:szCs w:val="18"/>
                      <w:highlight w:val="none"/>
                      <w:vertAlign w:val="baseline"/>
                      <w:lang w:val="en-US" w:eastAsia="zh-CN"/>
                    </w:rPr>
                    <w:t>份额</w:t>
                  </w:r>
                </w:p>
              </w:tc>
              <w:tc>
                <w:tcPr>
                  <w:tcW w:w="5159"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textAlignment w:val="auto"/>
                    <w:rPr>
                      <w:rFonts w:hint="default" w:ascii="楷体" w:hAnsi="楷体" w:eastAsia="楷体" w:cs="宋体"/>
                      <w:b/>
                      <w:bCs/>
                      <w:spacing w:val="-2"/>
                      <w:sz w:val="18"/>
                      <w:szCs w:val="18"/>
                      <w:highlight w:val="none"/>
                      <w:vertAlign w:val="baseline"/>
                      <w:lang w:val="en-US" w:eastAsia="zh-CN"/>
                    </w:rPr>
                  </w:pPr>
                  <w:r>
                    <w:rPr>
                      <w:rFonts w:hint="eastAsia" w:ascii="楷体" w:hAnsi="楷体" w:eastAsia="楷体" w:cs="宋体"/>
                      <w:b/>
                      <w:bCs/>
                      <w:spacing w:val="-2"/>
                      <w:sz w:val="18"/>
                      <w:szCs w:val="18"/>
                      <w:highlight w:val="none"/>
                      <w:vertAlign w:val="baseline"/>
                      <w:lang w:val="en-US" w:eastAsia="zh-CN"/>
                    </w:rPr>
                    <w:t>销售对象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P份额</w:t>
                  </w:r>
                </w:p>
              </w:tc>
              <w:tc>
                <w:tcPr>
                  <w:tcW w:w="5159"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宋体"/>
                      <w:spacing w:val="-2"/>
                      <w:kern w:val="0"/>
                      <w:sz w:val="18"/>
                      <w:szCs w:val="18"/>
                      <w:highlight w:val="none"/>
                      <w:vertAlign w:val="baseline"/>
                      <w:lang w:val="en-US" w:eastAsia="zh-CN" w:bidi="ar-SA"/>
                    </w:rPr>
                  </w:pPr>
                  <w:r>
                    <w:rPr>
                      <w:rFonts w:hint="eastAsia" w:ascii="楷体" w:hAnsi="楷体" w:eastAsia="楷体" w:cs="宋体"/>
                      <w:spacing w:val="-2"/>
                      <w:sz w:val="18"/>
                      <w:szCs w:val="18"/>
                      <w:highlight w:val="none"/>
                      <w:vertAlign w:val="baseline"/>
                      <w:lang w:val="en-US" w:eastAsia="zh-CN"/>
                    </w:rPr>
                    <w:t>面向个人和机构投资者销售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T份额</w:t>
                  </w:r>
                </w:p>
              </w:tc>
              <w:tc>
                <w:tcPr>
                  <w:tcW w:w="5159"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宋体"/>
                      <w:spacing w:val="-2"/>
                      <w:kern w:val="0"/>
                      <w:sz w:val="18"/>
                      <w:szCs w:val="18"/>
                      <w:highlight w:val="none"/>
                      <w:vertAlign w:val="baseline"/>
                      <w:lang w:val="en-US" w:eastAsia="zh-CN" w:bidi="ar-SA"/>
                    </w:rPr>
                  </w:pPr>
                  <w:r>
                    <w:rPr>
                      <w:rFonts w:hint="eastAsia" w:ascii="楷体" w:hAnsi="楷体" w:eastAsia="楷体" w:cs="宋体"/>
                      <w:spacing w:val="-2"/>
                      <w:sz w:val="18"/>
                      <w:szCs w:val="18"/>
                      <w:highlight w:val="none"/>
                      <w:vertAlign w:val="baseline"/>
                      <w:lang w:val="en-US" w:eastAsia="zh-CN"/>
                    </w:rPr>
                    <w:t>面向高净值客户和白名单客户销售，具体以销售机构设置为准。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ZN份额</w:t>
                  </w:r>
                </w:p>
              </w:tc>
              <w:tc>
                <w:tcPr>
                  <w:tcW w:w="5159"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default" w:ascii="楷体" w:hAnsi="楷体" w:eastAsia="楷体" w:cs="宋体"/>
                      <w:spacing w:val="-2"/>
                      <w:sz w:val="18"/>
                      <w:szCs w:val="18"/>
                      <w:highlight w:val="none"/>
                      <w:vertAlign w:val="baseline"/>
                      <w:lang w:val="en-US" w:eastAsia="zh-CN"/>
                    </w:rPr>
                  </w:pPr>
                  <w:r>
                    <w:rPr>
                      <w:rFonts w:hint="eastAsia" w:ascii="楷体" w:hAnsi="楷体" w:eastAsia="楷体" w:cs="宋体"/>
                      <w:spacing w:val="-2"/>
                      <w:sz w:val="18"/>
                      <w:szCs w:val="18"/>
                      <w:highlight w:val="none"/>
                      <w:vertAlign w:val="baseline"/>
                      <w:lang w:val="en-US" w:eastAsia="zh-CN"/>
                    </w:rPr>
                    <w:t>面向个人和机构投资者销售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ZQ份额</w:t>
                  </w:r>
                </w:p>
              </w:tc>
              <w:tc>
                <w:tcPr>
                  <w:tcW w:w="5159"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宋体"/>
                      <w:spacing w:val="-2"/>
                      <w:kern w:val="0"/>
                      <w:sz w:val="18"/>
                      <w:szCs w:val="18"/>
                      <w:highlight w:val="none"/>
                      <w:vertAlign w:val="baseline"/>
                      <w:lang w:val="en-US" w:eastAsia="zh-CN" w:bidi="ar-SA"/>
                    </w:rPr>
                  </w:pPr>
                  <w:r>
                    <w:rPr>
                      <w:rFonts w:hint="eastAsia" w:ascii="楷体" w:hAnsi="楷体" w:eastAsia="楷体" w:cs="宋体"/>
                      <w:spacing w:val="-2"/>
                      <w:sz w:val="18"/>
                      <w:szCs w:val="18"/>
                      <w:highlight w:val="none"/>
                      <w:vertAlign w:val="baseline"/>
                      <w:lang w:val="en-US" w:eastAsia="zh-CN"/>
                    </w:rPr>
                    <w:t>面向个人和机构投资者销售</w:t>
                  </w:r>
                </w:p>
              </w:tc>
            </w:tr>
          </w:tbl>
          <w:p>
            <w:pPr>
              <w:pStyle w:val="30"/>
              <w:kinsoku w:val="0"/>
              <w:overflowPunct w:val="0"/>
              <w:spacing w:before="12"/>
              <w:ind w:right="73" w:rightChars="35"/>
              <w:jc w:val="both"/>
              <w:rPr>
                <w:rFonts w:hint="eastAsia" w:ascii="楷体" w:hAnsi="楷体" w:eastAsia="楷体" w:cs="Times New Roman"/>
                <w:b/>
                <w:bCs/>
                <w:sz w:val="21"/>
                <w:szCs w:val="21"/>
                <w:highlight w:val="yellow"/>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01" w:hRule="atLeast"/>
          <w:jc w:val="center"/>
        </w:trPr>
        <w:tc>
          <w:tcPr>
            <w:tcW w:w="2052" w:type="dxa"/>
            <w:noWrap w:val="0"/>
            <w:vAlign w:val="center"/>
          </w:tcPr>
          <w:p>
            <w:pPr>
              <w:pStyle w:val="11"/>
              <w:keepNext w:val="0"/>
              <w:keepLines w:val="0"/>
              <w:pageBreakBefore w:val="0"/>
              <w:kinsoku/>
              <w:wordWrap/>
              <w:overflowPunct/>
              <w:topLinePunct w:val="0"/>
              <w:autoSpaceDE/>
              <w:autoSpaceDN/>
              <w:bidi w:val="0"/>
              <w:adjustRightInd/>
              <w:snapToGrid/>
              <w:spacing w:before="0" w:beforeAutospacing="0" w:after="0" w:afterAutospacing="0" w:line="240" w:lineRule="auto"/>
              <w:jc w:val="left"/>
              <w:textAlignment w:val="auto"/>
              <w:outlineLvl w:val="9"/>
              <w:rPr>
                <w:rFonts w:hint="eastAsia" w:ascii="楷体" w:hAnsi="楷体" w:eastAsia="楷体" w:cs="Times New Roman"/>
                <w:b/>
                <w:bCs/>
                <w:sz w:val="21"/>
                <w:szCs w:val="21"/>
                <w:vertAlign w:val="baseline"/>
              </w:rPr>
            </w:pPr>
            <w:r>
              <w:rPr>
                <w:rFonts w:hint="eastAsia" w:ascii="楷体" w:hAnsi="楷体" w:eastAsia="楷体" w:cs="Times New Roman"/>
                <w:b/>
                <w:bCs/>
                <w:sz w:val="21"/>
                <w:szCs w:val="21"/>
              </w:rPr>
              <w:t>购买起点/追加金额</w:t>
            </w:r>
          </w:p>
        </w:tc>
        <w:tc>
          <w:tcPr>
            <w:tcW w:w="6383" w:type="dxa"/>
            <w:noWrap w:val="0"/>
            <w:vAlign w:val="center"/>
          </w:tcPr>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
              <w:gridCol w:w="2268"/>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default" w:ascii="楷体" w:hAnsi="楷体" w:eastAsia="楷体" w:cs="宋体"/>
                      <w:b/>
                      <w:bCs/>
                      <w:spacing w:val="-2"/>
                      <w:sz w:val="18"/>
                      <w:szCs w:val="18"/>
                      <w:highlight w:val="none"/>
                      <w:vertAlign w:val="baseline"/>
                      <w:lang w:val="en-US" w:eastAsia="zh-CN"/>
                    </w:rPr>
                  </w:pPr>
                  <w:r>
                    <w:rPr>
                      <w:rFonts w:hint="eastAsia" w:ascii="楷体" w:hAnsi="楷体" w:eastAsia="楷体" w:cs="宋体"/>
                      <w:b/>
                      <w:bCs/>
                      <w:spacing w:val="-2"/>
                      <w:sz w:val="18"/>
                      <w:szCs w:val="18"/>
                      <w:highlight w:val="none"/>
                      <w:vertAlign w:val="baseline"/>
                      <w:lang w:val="en-US" w:eastAsia="zh-CN"/>
                    </w:rPr>
                    <w:t>份额</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宋体"/>
                      <w:b/>
                      <w:bCs/>
                      <w:spacing w:val="-2"/>
                      <w:sz w:val="18"/>
                      <w:szCs w:val="18"/>
                      <w:highlight w:val="none"/>
                      <w:vertAlign w:val="baseline"/>
                      <w:lang w:val="en-US" w:eastAsia="zh-CN"/>
                    </w:rPr>
                  </w:pPr>
                  <w:r>
                    <w:rPr>
                      <w:rFonts w:hint="eastAsia" w:ascii="楷体" w:hAnsi="楷体" w:eastAsia="楷体" w:cs="宋体"/>
                      <w:b/>
                      <w:bCs/>
                      <w:spacing w:val="-2"/>
                      <w:sz w:val="18"/>
                      <w:szCs w:val="18"/>
                      <w:highlight w:val="none"/>
                      <w:vertAlign w:val="baseline"/>
                      <w:lang w:val="en-US" w:eastAsia="zh-CN"/>
                    </w:rPr>
                    <w:t>认购起点</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default" w:ascii="楷体" w:hAnsi="楷体" w:eastAsia="楷体" w:cs="宋体"/>
                      <w:b/>
                      <w:bCs/>
                      <w:spacing w:val="-2"/>
                      <w:sz w:val="18"/>
                      <w:szCs w:val="18"/>
                      <w:highlight w:val="none"/>
                      <w:vertAlign w:val="baseline"/>
                      <w:lang w:val="en-US"/>
                    </w:rPr>
                  </w:pPr>
                  <w:r>
                    <w:rPr>
                      <w:rFonts w:hint="default" w:ascii="楷体" w:hAnsi="楷体" w:eastAsia="楷体" w:cs="宋体"/>
                      <w:b/>
                      <w:bCs/>
                      <w:spacing w:val="-2"/>
                      <w:sz w:val="18"/>
                      <w:szCs w:val="18"/>
                      <w:highlight w:val="none"/>
                      <w:vertAlign w:val="baseline"/>
                      <w:lang w:val="en-US"/>
                    </w:rPr>
                    <w:t>追加金额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P份额</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宋体"/>
                      <w:spacing w:val="-2"/>
                      <w:kern w:val="0"/>
                      <w:sz w:val="18"/>
                      <w:szCs w:val="18"/>
                      <w:highlight w:val="none"/>
                      <w:vertAlign w:val="baseline"/>
                      <w:lang w:val="en-US" w:eastAsia="zh-CN" w:bidi="ar-SA"/>
                    </w:rPr>
                  </w:pPr>
                  <w:r>
                    <w:rPr>
                      <w:rFonts w:hint="eastAsia" w:ascii="楷体" w:hAnsi="楷体" w:eastAsia="楷体" w:cs="宋体"/>
                      <w:spacing w:val="-2"/>
                      <w:sz w:val="18"/>
                      <w:szCs w:val="18"/>
                      <w:highlight w:val="none"/>
                      <w:vertAlign w:val="baseline"/>
                      <w:lang w:val="en-US" w:eastAsia="zh-CN"/>
                    </w:rPr>
                    <w:t>100元</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Times New Roman"/>
                      <w:kern w:val="0"/>
                      <w:sz w:val="18"/>
                      <w:szCs w:val="18"/>
                      <w:lang w:val="en-US" w:eastAsia="zh-CN" w:bidi="ar-SA"/>
                    </w:rPr>
                  </w:pPr>
                  <w:r>
                    <w:rPr>
                      <w:rFonts w:hint="eastAsia" w:ascii="楷体" w:hAnsi="楷体" w:eastAsia="楷体"/>
                      <w:sz w:val="18"/>
                      <w:szCs w:val="18"/>
                      <w:lang w:eastAsia="zh-CN"/>
                    </w:rPr>
                    <w:t>1</w:t>
                  </w:r>
                  <w:r>
                    <w:rPr>
                      <w:rFonts w:hint="eastAsia" w:ascii="楷体" w:hAnsi="楷体" w:eastAsia="楷体"/>
                      <w:sz w:val="18"/>
                      <w:szCs w:val="18"/>
                      <w:lang w:val="en-US" w:eastAsia="zh-CN"/>
                    </w:rPr>
                    <w:t>00</w:t>
                  </w:r>
                  <w:r>
                    <w:rPr>
                      <w:rFonts w:hint="eastAsia" w:ascii="楷体" w:hAnsi="楷体" w:eastAsia="楷体"/>
                      <w:sz w:val="18"/>
                      <w:szCs w:val="18"/>
                      <w:lang w:eastAsia="zh-CN"/>
                    </w:rPr>
                    <w:t>元</w:t>
                  </w:r>
                  <w:r>
                    <w:rPr>
                      <w:rFonts w:hint="eastAsia" w:ascii="楷体" w:hAnsi="楷体" w:eastAsia="楷体"/>
                      <w:sz w:val="18"/>
                      <w:szCs w:val="18"/>
                    </w:rPr>
                    <w:t>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T份额</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default" w:ascii="楷体" w:hAnsi="楷体" w:eastAsia="楷体" w:cs="宋体"/>
                      <w:spacing w:val="-2"/>
                      <w:sz w:val="18"/>
                      <w:szCs w:val="18"/>
                      <w:highlight w:val="none"/>
                      <w:vertAlign w:val="baseline"/>
                      <w:lang w:val="en-US" w:eastAsia="zh-CN"/>
                    </w:rPr>
                  </w:pPr>
                  <w:r>
                    <w:rPr>
                      <w:rFonts w:hint="eastAsia" w:ascii="楷体" w:hAnsi="楷体" w:eastAsia="楷体" w:cs="宋体"/>
                      <w:spacing w:val="-2"/>
                      <w:sz w:val="18"/>
                      <w:szCs w:val="18"/>
                      <w:highlight w:val="none"/>
                      <w:vertAlign w:val="baseline"/>
                      <w:lang w:val="en-US" w:eastAsia="zh-CN"/>
                    </w:rPr>
                    <w:t>500,000元</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default" w:ascii="楷体" w:hAnsi="楷体" w:eastAsia="楷体"/>
                      <w:sz w:val="18"/>
                      <w:szCs w:val="18"/>
                      <w:lang w:val="en-US" w:eastAsia="zh-CN"/>
                    </w:rPr>
                  </w:pPr>
                  <w:r>
                    <w:rPr>
                      <w:rFonts w:hint="eastAsia" w:ascii="楷体" w:hAnsi="楷体" w:eastAsia="楷体"/>
                      <w:sz w:val="18"/>
                      <w:szCs w:val="18"/>
                      <w:lang w:val="en-US" w:eastAsia="zh-CN"/>
                    </w:rPr>
                    <w:t>10,000元的整数倍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ZN份额</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宋体"/>
                      <w:spacing w:val="-2"/>
                      <w:sz w:val="18"/>
                      <w:szCs w:val="18"/>
                      <w:lang w:eastAsia="zh-CN"/>
                    </w:rPr>
                  </w:pPr>
                  <w:r>
                    <w:rPr>
                      <w:rFonts w:hint="eastAsia" w:ascii="楷体" w:hAnsi="楷体" w:eastAsia="楷体" w:cs="宋体"/>
                      <w:spacing w:val="-2"/>
                      <w:sz w:val="18"/>
                      <w:szCs w:val="18"/>
                      <w:lang w:eastAsia="zh-CN"/>
                    </w:rPr>
                    <w:t>1</w:t>
                  </w:r>
                  <w:r>
                    <w:rPr>
                      <w:rFonts w:hint="eastAsia" w:ascii="楷体" w:hAnsi="楷体" w:eastAsia="楷体" w:cs="宋体"/>
                      <w:spacing w:val="-2"/>
                      <w:sz w:val="18"/>
                      <w:szCs w:val="18"/>
                      <w:lang w:val="en-US" w:eastAsia="zh-CN"/>
                    </w:rPr>
                    <w:t>00</w:t>
                  </w:r>
                  <w:r>
                    <w:rPr>
                      <w:rFonts w:hint="eastAsia" w:ascii="楷体" w:hAnsi="楷体" w:eastAsia="楷体" w:cs="宋体"/>
                      <w:spacing w:val="-2"/>
                      <w:sz w:val="18"/>
                      <w:szCs w:val="18"/>
                      <w:lang w:eastAsia="zh-CN"/>
                    </w:rPr>
                    <w:t>元</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sz w:val="18"/>
                      <w:szCs w:val="18"/>
                      <w:lang w:eastAsia="zh-CN"/>
                    </w:rPr>
                  </w:pPr>
                  <w:r>
                    <w:rPr>
                      <w:rFonts w:hint="eastAsia" w:ascii="楷体" w:hAnsi="楷体" w:eastAsia="楷体"/>
                      <w:sz w:val="18"/>
                      <w:szCs w:val="18"/>
                      <w:lang w:eastAsia="zh-CN"/>
                    </w:rPr>
                    <w:t>1</w:t>
                  </w:r>
                  <w:r>
                    <w:rPr>
                      <w:rFonts w:hint="eastAsia" w:ascii="楷体" w:hAnsi="楷体" w:eastAsia="楷体"/>
                      <w:sz w:val="18"/>
                      <w:szCs w:val="18"/>
                      <w:lang w:val="en-US" w:eastAsia="zh-CN"/>
                    </w:rPr>
                    <w:t>00</w:t>
                  </w:r>
                  <w:r>
                    <w:rPr>
                      <w:rFonts w:hint="eastAsia" w:ascii="楷体" w:hAnsi="楷体" w:eastAsia="楷体"/>
                      <w:sz w:val="18"/>
                      <w:szCs w:val="18"/>
                      <w:lang w:eastAsia="zh-CN"/>
                    </w:rPr>
                    <w:t>元</w:t>
                  </w:r>
                  <w:r>
                    <w:rPr>
                      <w:rFonts w:hint="eastAsia" w:ascii="楷体" w:hAnsi="楷体" w:eastAsia="楷体"/>
                      <w:sz w:val="18"/>
                      <w:szCs w:val="18"/>
                    </w:rPr>
                    <w:t>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ZQ份额</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宋体"/>
                      <w:spacing w:val="-2"/>
                      <w:kern w:val="0"/>
                      <w:sz w:val="18"/>
                      <w:szCs w:val="18"/>
                      <w:lang w:val="en-US" w:eastAsia="zh-CN" w:bidi="ar-SA"/>
                    </w:rPr>
                  </w:pPr>
                  <w:r>
                    <w:rPr>
                      <w:rFonts w:hint="eastAsia" w:ascii="楷体" w:hAnsi="楷体" w:eastAsia="楷体" w:cs="宋体"/>
                      <w:spacing w:val="-2"/>
                      <w:sz w:val="18"/>
                      <w:szCs w:val="18"/>
                      <w:lang w:eastAsia="zh-CN"/>
                    </w:rPr>
                    <w:t>1</w:t>
                  </w:r>
                  <w:r>
                    <w:rPr>
                      <w:rFonts w:hint="eastAsia" w:ascii="楷体" w:hAnsi="楷体" w:eastAsia="楷体" w:cs="宋体"/>
                      <w:spacing w:val="-2"/>
                      <w:sz w:val="18"/>
                      <w:szCs w:val="18"/>
                      <w:lang w:val="en-US" w:eastAsia="zh-CN"/>
                    </w:rPr>
                    <w:t>00</w:t>
                  </w:r>
                  <w:r>
                    <w:rPr>
                      <w:rFonts w:hint="eastAsia" w:ascii="楷体" w:hAnsi="楷体" w:eastAsia="楷体" w:cs="宋体"/>
                      <w:spacing w:val="-2"/>
                      <w:sz w:val="18"/>
                      <w:szCs w:val="18"/>
                      <w:lang w:eastAsia="zh-CN"/>
                    </w:rPr>
                    <w:t>元</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Times New Roman"/>
                      <w:kern w:val="0"/>
                      <w:sz w:val="18"/>
                      <w:szCs w:val="18"/>
                      <w:lang w:val="en-US" w:eastAsia="zh-CN" w:bidi="ar-SA"/>
                    </w:rPr>
                  </w:pPr>
                  <w:r>
                    <w:rPr>
                      <w:rFonts w:hint="eastAsia" w:ascii="楷体" w:hAnsi="楷体" w:eastAsia="楷体"/>
                      <w:sz w:val="18"/>
                      <w:szCs w:val="18"/>
                      <w:lang w:eastAsia="zh-CN"/>
                    </w:rPr>
                    <w:t>1</w:t>
                  </w:r>
                  <w:r>
                    <w:rPr>
                      <w:rFonts w:hint="eastAsia" w:ascii="楷体" w:hAnsi="楷体" w:eastAsia="楷体"/>
                      <w:sz w:val="18"/>
                      <w:szCs w:val="18"/>
                      <w:lang w:val="en-US" w:eastAsia="zh-CN"/>
                    </w:rPr>
                    <w:t>00</w:t>
                  </w:r>
                  <w:r>
                    <w:rPr>
                      <w:rFonts w:hint="eastAsia" w:ascii="楷体" w:hAnsi="楷体" w:eastAsia="楷体"/>
                      <w:sz w:val="18"/>
                      <w:szCs w:val="18"/>
                      <w:lang w:eastAsia="zh-CN"/>
                    </w:rPr>
                    <w:t>元</w:t>
                  </w:r>
                  <w:r>
                    <w:rPr>
                      <w:rFonts w:hint="eastAsia" w:ascii="楷体" w:hAnsi="楷体" w:eastAsia="楷体"/>
                      <w:sz w:val="18"/>
                      <w:szCs w:val="18"/>
                    </w:rPr>
                    <w:t>的整数倍</w:t>
                  </w:r>
                </w:p>
              </w:tc>
            </w:tr>
          </w:tbl>
          <w:p>
            <w:pPr>
              <w:pStyle w:val="30"/>
              <w:kinsoku w:val="0"/>
              <w:overflowPunct w:val="0"/>
              <w:spacing w:before="12"/>
              <w:ind w:right="73" w:rightChars="35"/>
              <w:jc w:val="both"/>
              <w:rPr>
                <w:rFonts w:hint="eastAsia" w:ascii="楷体" w:hAnsi="楷体" w:eastAsia="楷体" w:cs="Times New Roman"/>
                <w:b/>
                <w:bCs/>
                <w:sz w:val="21"/>
                <w:szCs w:val="21"/>
                <w:vertAlign w:val="baseline"/>
              </w:rPr>
            </w:pPr>
            <w:r>
              <w:rPr>
                <w:rFonts w:hint="eastAsia" w:ascii="楷体" w:hAnsi="楷体" w:eastAsia="楷体" w:cs="宋体"/>
                <w:spacing w:val="-2"/>
                <w:sz w:val="21"/>
                <w:szCs w:val="21"/>
                <w:highlight w:val="none"/>
              </w:rPr>
              <w:t>（以</w:t>
            </w:r>
            <w:r>
              <w:rPr>
                <w:rFonts w:hint="eastAsia" w:ascii="楷体" w:hAnsi="楷体" w:eastAsia="楷体" w:cs="宋体"/>
                <w:spacing w:val="-2"/>
                <w:sz w:val="21"/>
                <w:szCs w:val="21"/>
                <w:highlight w:val="none"/>
                <w:lang w:val="en-US" w:eastAsia="zh-CN"/>
              </w:rPr>
              <w:t>销售</w:t>
            </w:r>
            <w:r>
              <w:rPr>
                <w:rFonts w:hint="eastAsia" w:ascii="楷体" w:hAnsi="楷体" w:eastAsia="楷体" w:cs="宋体"/>
                <w:spacing w:val="-2"/>
                <w:sz w:val="21"/>
                <w:szCs w:val="21"/>
                <w:highlight w:val="none"/>
              </w:rPr>
              <w:t>机构设置为准）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052" w:type="dxa"/>
            <w:noWrap w:val="0"/>
            <w:vAlign w:val="center"/>
          </w:tcPr>
          <w:p>
            <w:pPr>
              <w:pStyle w:val="11"/>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jc w:val="left"/>
              <w:textAlignment w:val="auto"/>
              <w:outlineLvl w:val="9"/>
              <w:rPr>
                <w:rFonts w:hint="default" w:ascii="楷体" w:hAnsi="楷体" w:eastAsia="楷体" w:cs="Times New Roman"/>
                <w:b/>
                <w:bCs/>
                <w:sz w:val="21"/>
                <w:szCs w:val="21"/>
                <w:vertAlign w:val="baseline"/>
                <w:lang w:val="en-US" w:eastAsia="zh-CN"/>
              </w:rPr>
            </w:pPr>
            <w:r>
              <w:rPr>
                <w:rFonts w:hint="eastAsia" w:ascii="楷体" w:hAnsi="楷体" w:eastAsia="楷体" w:cs="Times New Roman"/>
                <w:b/>
                <w:bCs/>
                <w:sz w:val="21"/>
                <w:szCs w:val="21"/>
                <w:vertAlign w:val="baseline"/>
                <w:lang w:val="en-US" w:eastAsia="zh-CN"/>
              </w:rPr>
              <w:t>份额募集期</w:t>
            </w:r>
          </w:p>
        </w:tc>
        <w:tc>
          <w:tcPr>
            <w:tcW w:w="6383" w:type="dxa"/>
            <w:noWrap w:val="0"/>
            <w:vAlign w:val="center"/>
          </w:tcPr>
          <w:p>
            <w:pPr>
              <w:ind w:left="59" w:right="73" w:rightChars="35"/>
              <w:rPr>
                <w:rFonts w:hint="eastAsia" w:ascii="楷体" w:hAnsi="楷体" w:eastAsia="楷体" w:cs="Times New Roman"/>
                <w:kern w:val="0"/>
                <w:sz w:val="21"/>
                <w:szCs w:val="21"/>
                <w:lang w:val="en-US" w:eastAsia="zh-CN" w:bidi="ar-SA"/>
              </w:rPr>
            </w:pPr>
            <w:r>
              <w:rPr>
                <w:rFonts w:hint="eastAsia" w:ascii="楷体" w:hAnsi="楷体" w:eastAsia="楷体" w:cs="宋体"/>
                <w:spacing w:val="-2"/>
                <w:sz w:val="21"/>
                <w:szCs w:val="21"/>
                <w:lang w:eastAsia="zh-CN"/>
              </w:rPr>
              <w:t>202</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lang w:eastAsia="zh-CN"/>
              </w:rPr>
              <w:t>年</w:t>
            </w:r>
            <w:r>
              <w:rPr>
                <w:rFonts w:hint="eastAsia" w:ascii="楷体" w:hAnsi="楷体" w:eastAsia="楷体" w:cs="宋体"/>
                <w:spacing w:val="-2"/>
                <w:sz w:val="21"/>
                <w:szCs w:val="21"/>
                <w:lang w:val="en-US" w:eastAsia="zh-CN"/>
              </w:rPr>
              <w:t>10</w:t>
            </w:r>
            <w:r>
              <w:rPr>
                <w:rFonts w:hint="eastAsia" w:ascii="楷体" w:hAnsi="楷体" w:eastAsia="楷体" w:cs="宋体"/>
                <w:spacing w:val="-2"/>
                <w:sz w:val="21"/>
                <w:szCs w:val="21"/>
                <w:lang w:eastAsia="zh-CN"/>
              </w:rPr>
              <w:t>月</w:t>
            </w:r>
            <w:r>
              <w:rPr>
                <w:rFonts w:hint="eastAsia" w:ascii="楷体" w:hAnsi="楷体" w:eastAsia="楷体" w:cs="宋体"/>
                <w:spacing w:val="-2"/>
                <w:sz w:val="21"/>
                <w:szCs w:val="21"/>
                <w:lang w:val="en-US" w:eastAsia="zh-CN"/>
              </w:rPr>
              <w:t>31</w:t>
            </w:r>
            <w:r>
              <w:rPr>
                <w:rFonts w:hint="eastAsia" w:ascii="楷体" w:hAnsi="楷体" w:eastAsia="楷体" w:cs="宋体"/>
                <w:spacing w:val="-2"/>
                <w:sz w:val="21"/>
                <w:szCs w:val="21"/>
                <w:lang w:eastAsia="zh-CN"/>
              </w:rPr>
              <w:t>日</w:t>
            </w:r>
            <w:r>
              <w:rPr>
                <w:rFonts w:hint="eastAsia" w:ascii="楷体" w:hAnsi="楷体" w:eastAsia="楷体" w:cs="宋体"/>
                <w:spacing w:val="-2"/>
                <w:sz w:val="21"/>
                <w:szCs w:val="21"/>
              </w:rPr>
              <w:t>9:00至</w:t>
            </w:r>
            <w:r>
              <w:rPr>
                <w:rFonts w:hint="eastAsia" w:ascii="楷体" w:hAnsi="楷体" w:eastAsia="楷体" w:cs="宋体"/>
                <w:spacing w:val="-2"/>
                <w:sz w:val="21"/>
                <w:szCs w:val="21"/>
                <w:lang w:eastAsia="zh-CN"/>
              </w:rPr>
              <w:t>202</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lang w:eastAsia="zh-CN"/>
              </w:rPr>
              <w:t>年</w:t>
            </w:r>
            <w:r>
              <w:rPr>
                <w:rFonts w:hint="eastAsia" w:ascii="楷体" w:hAnsi="楷体" w:eastAsia="楷体" w:cs="宋体"/>
                <w:spacing w:val="-2"/>
                <w:sz w:val="21"/>
                <w:szCs w:val="21"/>
                <w:lang w:val="en-US" w:eastAsia="zh-CN"/>
              </w:rPr>
              <w:t>11</w:t>
            </w:r>
            <w:r>
              <w:rPr>
                <w:rFonts w:hint="eastAsia" w:ascii="楷体" w:hAnsi="楷体" w:eastAsia="楷体" w:cs="宋体"/>
                <w:spacing w:val="-2"/>
                <w:sz w:val="21"/>
                <w:szCs w:val="21"/>
                <w:lang w:eastAsia="zh-CN"/>
              </w:rPr>
              <w:t>月</w:t>
            </w:r>
            <w:r>
              <w:rPr>
                <w:rFonts w:hint="eastAsia" w:ascii="楷体" w:hAnsi="楷体" w:eastAsia="楷体" w:cs="宋体"/>
                <w:spacing w:val="-2"/>
                <w:sz w:val="21"/>
                <w:szCs w:val="21"/>
                <w:lang w:val="en-US" w:eastAsia="zh-CN"/>
              </w:rPr>
              <w:t>10</w:t>
            </w:r>
            <w:r>
              <w:rPr>
                <w:rFonts w:hint="eastAsia" w:ascii="楷体" w:hAnsi="楷体" w:eastAsia="楷体" w:cs="宋体"/>
                <w:spacing w:val="-2"/>
                <w:sz w:val="21"/>
                <w:szCs w:val="21"/>
                <w:lang w:eastAsia="zh-CN"/>
              </w:rPr>
              <w:t>日</w:t>
            </w:r>
            <w:r>
              <w:rPr>
                <w:rFonts w:hint="eastAsia" w:ascii="楷体" w:hAnsi="楷体" w:eastAsia="楷体" w:cs="宋体"/>
                <w:spacing w:val="-2"/>
                <w:sz w:val="21"/>
                <w:szCs w:val="21"/>
              </w:rPr>
              <w:t>17:00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52" w:type="dxa"/>
            <w:noWrap w:val="0"/>
            <w:vAlign w:val="center"/>
          </w:tcPr>
          <w:p>
            <w:pPr>
              <w:pStyle w:val="11"/>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jc w:val="left"/>
              <w:textAlignment w:val="auto"/>
              <w:outlineLvl w:val="9"/>
              <w:rPr>
                <w:rFonts w:hint="default" w:ascii="楷体" w:hAnsi="楷体" w:eastAsia="楷体" w:cs="Times New Roman"/>
                <w:b/>
                <w:bCs/>
                <w:sz w:val="21"/>
                <w:szCs w:val="21"/>
                <w:vertAlign w:val="baseline"/>
                <w:lang w:val="en-US" w:eastAsia="zh-CN"/>
              </w:rPr>
            </w:pPr>
            <w:r>
              <w:rPr>
                <w:rFonts w:hint="eastAsia" w:ascii="楷体" w:hAnsi="楷体" w:eastAsia="楷体" w:cs="Times New Roman"/>
                <w:b/>
                <w:bCs/>
                <w:sz w:val="21"/>
                <w:szCs w:val="21"/>
                <w:vertAlign w:val="baseline"/>
                <w:lang w:val="en-US" w:eastAsia="zh-CN"/>
              </w:rPr>
              <w:t>份额成立日</w:t>
            </w:r>
          </w:p>
        </w:tc>
        <w:tc>
          <w:tcPr>
            <w:tcW w:w="6383" w:type="dxa"/>
            <w:noWrap w:val="0"/>
            <w:vAlign w:val="center"/>
          </w:tcPr>
          <w:p>
            <w:pPr>
              <w:ind w:left="59" w:right="73" w:rightChars="35"/>
              <w:rPr>
                <w:rFonts w:hint="eastAsia" w:ascii="楷体" w:hAnsi="楷体" w:eastAsia="楷体" w:cs="Times New Roman"/>
                <w:kern w:val="0"/>
                <w:sz w:val="21"/>
                <w:szCs w:val="21"/>
                <w:lang w:val="en-US" w:eastAsia="zh-CN" w:bidi="ar-SA"/>
              </w:rPr>
            </w:pPr>
            <w:r>
              <w:rPr>
                <w:rFonts w:hint="eastAsia" w:ascii="楷体" w:hAnsi="楷体" w:eastAsia="楷体" w:cs="Times New Roman"/>
                <w:kern w:val="0"/>
                <w:sz w:val="21"/>
                <w:szCs w:val="21"/>
                <w:lang w:val="en-US" w:eastAsia="zh-CN" w:bidi="ar-SA"/>
              </w:rPr>
              <w:t>2025年11月11日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5" w:hRule="atLeast"/>
          <w:jc w:val="center"/>
        </w:trPr>
        <w:tc>
          <w:tcPr>
            <w:tcW w:w="2052" w:type="dxa"/>
            <w:noWrap w:val="0"/>
            <w:vAlign w:val="center"/>
          </w:tcPr>
          <w:p>
            <w:pPr>
              <w:pStyle w:val="11"/>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jc w:val="left"/>
              <w:textAlignment w:val="auto"/>
              <w:outlineLvl w:val="9"/>
              <w:rPr>
                <w:rFonts w:hint="default" w:ascii="楷体" w:hAnsi="楷体" w:eastAsia="楷体" w:cs="Times New Roman"/>
                <w:b/>
                <w:bCs/>
                <w:sz w:val="21"/>
                <w:szCs w:val="21"/>
                <w:vertAlign w:val="baseline"/>
                <w:lang w:val="en-US" w:eastAsia="zh-CN"/>
              </w:rPr>
            </w:pPr>
            <w:r>
              <w:rPr>
                <w:rFonts w:hint="eastAsia" w:ascii="楷体" w:hAnsi="楷体" w:eastAsia="楷体" w:cs="Times New Roman"/>
                <w:b/>
                <w:bCs/>
                <w:sz w:val="21"/>
                <w:szCs w:val="21"/>
                <w:vertAlign w:val="baseline"/>
                <w:lang w:val="en-US" w:eastAsia="zh-CN"/>
              </w:rPr>
              <w:t>开放计划</w:t>
            </w:r>
          </w:p>
        </w:tc>
        <w:tc>
          <w:tcPr>
            <w:tcW w:w="6383" w:type="dxa"/>
            <w:noWrap w:val="0"/>
            <w:vAlign w:val="center"/>
          </w:tcPr>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6"/>
              <w:gridCol w:w="46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16"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default" w:ascii="楷体" w:hAnsi="楷体" w:eastAsia="楷体" w:cs="宋体"/>
                      <w:b/>
                      <w:bCs/>
                      <w:spacing w:val="-2"/>
                      <w:sz w:val="18"/>
                      <w:szCs w:val="18"/>
                      <w:highlight w:val="none"/>
                      <w:vertAlign w:val="baseline"/>
                      <w:lang w:val="en-US" w:eastAsia="zh-CN"/>
                    </w:rPr>
                  </w:pPr>
                  <w:r>
                    <w:rPr>
                      <w:rFonts w:hint="eastAsia" w:ascii="楷体" w:hAnsi="楷体" w:eastAsia="楷体" w:cs="宋体"/>
                      <w:b/>
                      <w:bCs/>
                      <w:spacing w:val="-2"/>
                      <w:sz w:val="18"/>
                      <w:szCs w:val="18"/>
                      <w:highlight w:val="none"/>
                      <w:vertAlign w:val="baseline"/>
                      <w:lang w:val="en-US" w:eastAsia="zh-CN"/>
                    </w:rPr>
                    <w:t>份额</w:t>
                  </w:r>
                </w:p>
              </w:tc>
              <w:tc>
                <w:tcPr>
                  <w:tcW w:w="4641"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default" w:ascii="楷体" w:hAnsi="楷体" w:eastAsia="楷体" w:cs="宋体"/>
                      <w:b/>
                      <w:bCs/>
                      <w:spacing w:val="-2"/>
                      <w:sz w:val="18"/>
                      <w:szCs w:val="18"/>
                      <w:highlight w:val="none"/>
                      <w:vertAlign w:val="baseline"/>
                      <w:lang w:val="en-US" w:eastAsia="zh-CN"/>
                    </w:rPr>
                  </w:pPr>
                  <w:r>
                    <w:rPr>
                      <w:rFonts w:hint="eastAsia" w:ascii="楷体" w:hAnsi="楷体" w:eastAsia="楷体" w:cs="宋体"/>
                      <w:b/>
                      <w:bCs/>
                      <w:spacing w:val="-2"/>
                      <w:sz w:val="18"/>
                      <w:szCs w:val="18"/>
                      <w:highlight w:val="none"/>
                      <w:vertAlign w:val="baseline"/>
                      <w:lang w:val="en-US" w:eastAsia="zh-CN"/>
                    </w:rPr>
                    <w:t>开放计划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jc w:val="center"/>
              </w:trPr>
              <w:tc>
                <w:tcPr>
                  <w:tcW w:w="1516"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P份额</w:t>
                  </w:r>
                </w:p>
                <w:p>
                  <w:pPr>
                    <w:keepNext w:val="0"/>
                    <w:keepLines w:val="0"/>
                    <w:pageBreakBefore w:val="0"/>
                    <w:widowControl/>
                    <w:suppressLineNumbers w:val="0"/>
                    <w:wordWrap/>
                    <w:topLinePunct w:val="0"/>
                    <w:bidi w:val="0"/>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T份额</w:t>
                  </w:r>
                </w:p>
              </w:tc>
              <w:tc>
                <w:tcPr>
                  <w:tcW w:w="4641" w:type="dxa"/>
                  <w:noWrap w:val="0"/>
                  <w:vAlign w:val="center"/>
                </w:tcPr>
                <w:p>
                  <w:pPr>
                    <w:pStyle w:val="30"/>
                    <w:keepNext w:val="0"/>
                    <w:keepLines w:val="0"/>
                    <w:pageBreakBefore w:val="0"/>
                    <w:widowControl w:val="0"/>
                    <w:kinsoku w:val="0"/>
                    <w:wordWrap/>
                    <w:overflowPunct w:val="0"/>
                    <w:topLinePunct w:val="0"/>
                    <w:autoSpaceDE w:val="0"/>
                    <w:autoSpaceDN w:val="0"/>
                    <w:bidi w:val="0"/>
                    <w:adjustRightInd w:val="0"/>
                    <w:snapToGrid/>
                    <w:spacing w:line="0" w:lineRule="atLeast"/>
                    <w:ind w:left="0" w:right="0" w:rightChars="0"/>
                    <w:jc w:val="both"/>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按投资周期开放申购与赎回，投资者可在每个投资周期终止日前7</w:t>
                  </w:r>
                  <w:r>
                    <w:rPr>
                      <w:rFonts w:hint="eastAsia" w:ascii="楷体" w:hAnsi="楷体" w:eastAsia="楷体" w:cs="宋体"/>
                      <w:spacing w:val="-2"/>
                      <w:sz w:val="18"/>
                      <w:szCs w:val="18"/>
                      <w:highlight w:val="none"/>
                      <w:lang w:val="en-US" w:eastAsia="zh-CN"/>
                    </w:rPr>
                    <w:t>个工作</w:t>
                  </w:r>
                  <w:r>
                    <w:rPr>
                      <w:rFonts w:hint="eastAsia" w:ascii="楷体" w:hAnsi="楷体" w:eastAsia="楷体" w:cs="宋体"/>
                      <w:spacing w:val="-2"/>
                      <w:sz w:val="18"/>
                      <w:szCs w:val="18"/>
                      <w:highlight w:val="none"/>
                    </w:rPr>
                    <w:t>日（含投资周期终止日）内，通过销售机构提出申购/赎回申请，管理人于投资周期终止日次日对申购/赎回申请予以统一确认，未赎回的部分份额自动进入下一个投资周期。（以各销售机构设置的开放时间为准</w:t>
                  </w:r>
                  <w:r>
                    <w:rPr>
                      <w:rFonts w:hint="eastAsia" w:ascii="楷体" w:hAnsi="楷体" w:eastAsia="楷体" w:cs="宋体"/>
                      <w:spacing w:val="-2"/>
                      <w:sz w:val="18"/>
                      <w:szCs w:val="18"/>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jc w:val="center"/>
              </w:trPr>
              <w:tc>
                <w:tcPr>
                  <w:tcW w:w="1516"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ZN份额</w:t>
                  </w:r>
                </w:p>
                <w:p>
                  <w:pPr>
                    <w:keepNext w:val="0"/>
                    <w:keepLines w:val="0"/>
                    <w:pageBreakBefore w:val="0"/>
                    <w:widowControl/>
                    <w:suppressLineNumbers w:val="0"/>
                    <w:wordWrap/>
                    <w:topLinePunct w:val="0"/>
                    <w:bidi w:val="0"/>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ZQ份额</w:t>
                  </w:r>
                </w:p>
              </w:tc>
              <w:tc>
                <w:tcPr>
                  <w:tcW w:w="4641" w:type="dxa"/>
                  <w:noWrap w:val="0"/>
                  <w:vAlign w:val="center"/>
                </w:tcPr>
                <w:p>
                  <w:pPr>
                    <w:pStyle w:val="30"/>
                    <w:keepNext w:val="0"/>
                    <w:keepLines w:val="0"/>
                    <w:pageBreakBefore w:val="0"/>
                    <w:widowControl w:val="0"/>
                    <w:kinsoku w:val="0"/>
                    <w:wordWrap/>
                    <w:overflowPunct w:val="0"/>
                    <w:topLinePunct w:val="0"/>
                    <w:autoSpaceDE w:val="0"/>
                    <w:autoSpaceDN w:val="0"/>
                    <w:bidi w:val="0"/>
                    <w:adjustRightInd w:val="0"/>
                    <w:snapToGrid/>
                    <w:spacing w:line="0" w:lineRule="atLeast"/>
                    <w:ind w:left="0" w:right="0" w:rightChars="0"/>
                    <w:jc w:val="both"/>
                    <w:textAlignment w:val="auto"/>
                    <w:rPr>
                      <w:rFonts w:hint="default" w:ascii="楷体" w:hAnsi="楷体" w:eastAsia="楷体" w:cs="宋体"/>
                      <w:spacing w:val="-2"/>
                      <w:sz w:val="18"/>
                      <w:szCs w:val="18"/>
                      <w:highlight w:val="none"/>
                      <w:vertAlign w:val="baseline"/>
                      <w:lang w:val="en-US" w:eastAsia="zh-CN"/>
                    </w:rPr>
                  </w:pPr>
                  <w:r>
                    <w:rPr>
                      <w:rFonts w:hint="eastAsia" w:ascii="楷体" w:hAnsi="楷体" w:eastAsia="楷体" w:cs="宋体"/>
                      <w:spacing w:val="-2"/>
                      <w:sz w:val="18"/>
                      <w:szCs w:val="18"/>
                      <w:highlight w:val="none"/>
                    </w:rPr>
                    <w:t>按投资周期开放申购，投资者可在每个投资周期终止日前7</w:t>
                  </w:r>
                  <w:r>
                    <w:rPr>
                      <w:rFonts w:hint="eastAsia" w:ascii="楷体" w:hAnsi="楷体" w:eastAsia="楷体" w:cs="宋体"/>
                      <w:spacing w:val="-2"/>
                      <w:sz w:val="18"/>
                      <w:szCs w:val="18"/>
                      <w:highlight w:val="none"/>
                      <w:lang w:val="en-US" w:eastAsia="zh-CN"/>
                    </w:rPr>
                    <w:t>个工作</w:t>
                  </w:r>
                  <w:r>
                    <w:rPr>
                      <w:rFonts w:hint="eastAsia" w:ascii="楷体" w:hAnsi="楷体" w:eastAsia="楷体" w:cs="宋体"/>
                      <w:spacing w:val="-2"/>
                      <w:sz w:val="18"/>
                      <w:szCs w:val="18"/>
                      <w:highlight w:val="none"/>
                    </w:rPr>
                    <w:t>日（含投资周期终止日）内，通过销售机构提出申购申请，管理人于投资周期终止日次日对申购申请予以统一确认</w:t>
                  </w:r>
                  <w:r>
                    <w:rPr>
                      <w:rFonts w:hint="eastAsia" w:ascii="楷体" w:hAnsi="楷体" w:eastAsia="楷体" w:cs="宋体"/>
                      <w:spacing w:val="-2"/>
                      <w:sz w:val="18"/>
                      <w:szCs w:val="18"/>
                      <w:highlight w:val="none"/>
                      <w:lang w:eastAsia="zh-CN"/>
                    </w:rPr>
                    <w:t>。</w:t>
                  </w:r>
                  <w:r>
                    <w:rPr>
                      <w:rFonts w:hint="eastAsia" w:ascii="楷体" w:hAnsi="楷体" w:eastAsia="楷体" w:cs="宋体"/>
                      <w:spacing w:val="-2"/>
                      <w:sz w:val="18"/>
                      <w:szCs w:val="18"/>
                      <w:highlight w:val="none"/>
                      <w:lang w:val="en-US" w:eastAsia="zh-CN"/>
                    </w:rPr>
                    <w:t>份额持有一个投资周期后，在每个投资周期终止日由系统自动为投资者的所有持仓份额发起赎回申请，</w:t>
                  </w:r>
                  <w:r>
                    <w:rPr>
                      <w:rFonts w:hint="eastAsia" w:ascii="楷体" w:hAnsi="楷体" w:eastAsia="楷体" w:cs="宋体"/>
                      <w:spacing w:val="-2"/>
                      <w:sz w:val="18"/>
                      <w:szCs w:val="18"/>
                      <w:highlight w:val="none"/>
                    </w:rPr>
                    <w:t>管理人于投资周期终止日次日对赎回申请予以统一确认，</w:t>
                  </w:r>
                  <w:r>
                    <w:rPr>
                      <w:rFonts w:hint="eastAsia" w:ascii="楷体" w:hAnsi="楷体" w:eastAsia="楷体" w:cs="宋体"/>
                      <w:spacing w:val="-2"/>
                      <w:sz w:val="18"/>
                      <w:szCs w:val="18"/>
                      <w:highlight w:val="none"/>
                      <w:lang w:eastAsia="zh-CN"/>
                    </w:rPr>
                    <w:t>上一投资周期投资者的所有持仓份额不会</w:t>
                  </w:r>
                  <w:r>
                    <w:rPr>
                      <w:rFonts w:hint="eastAsia" w:ascii="楷体" w:hAnsi="楷体" w:eastAsia="楷体" w:cs="宋体"/>
                      <w:spacing w:val="-2"/>
                      <w:sz w:val="18"/>
                      <w:szCs w:val="18"/>
                      <w:highlight w:val="none"/>
                    </w:rPr>
                    <w:t>进入下一个投资周期。（以各销售机构设置的开放时间为准）</w:t>
                  </w:r>
                </w:p>
              </w:tc>
            </w:tr>
          </w:tbl>
          <w:p>
            <w:pPr>
              <w:pStyle w:val="30"/>
              <w:kinsoku w:val="0"/>
              <w:overflowPunct w:val="0"/>
              <w:spacing w:before="12"/>
              <w:ind w:right="73" w:rightChars="35"/>
              <w:jc w:val="both"/>
              <w:rPr>
                <w:rFonts w:hint="eastAsia" w:ascii="楷体" w:hAnsi="楷体" w:eastAsia="楷体" w:cs="Times New Roman"/>
                <w:kern w:val="0"/>
                <w:sz w:val="21"/>
                <w:szCs w:val="21"/>
                <w:lang w:val="en-US" w:eastAsia="zh-CN" w:bidi="ar-SA"/>
              </w:rPr>
            </w:pPr>
            <w:r>
              <w:rPr>
                <w:rFonts w:hint="eastAsia" w:ascii="楷体" w:hAnsi="楷体" w:eastAsia="楷体" w:cs="宋体"/>
                <w:spacing w:val="-2"/>
                <w:sz w:val="21"/>
                <w:szCs w:val="21"/>
                <w:highlight w:val="none"/>
              </w:rPr>
              <w:t>管理人有权根据资产运作情况、节假日安排调整开放计划，并在调整前进行公告。</w:t>
            </w:r>
          </w:p>
        </w:tc>
      </w:tr>
    </w:tbl>
    <w:p>
      <w:pPr>
        <w:pStyle w:val="11"/>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240" w:lineRule="auto"/>
        <w:ind w:firstLine="560" w:firstLineChars="200"/>
        <w:textAlignment w:val="auto"/>
        <w:outlineLvl w:val="9"/>
        <w:rPr>
          <w:rFonts w:hint="default" w:ascii="楷体" w:hAnsi="楷体" w:eastAsia="楷体" w:cs="Times New Roman"/>
          <w:kern w:val="0"/>
          <w:sz w:val="28"/>
          <w:szCs w:val="28"/>
          <w:lang w:val="en-US" w:eastAsia="zh-CN" w:bidi="ar-SA"/>
        </w:rPr>
      </w:pPr>
      <w:r>
        <w:rPr>
          <w:rFonts w:hint="eastAsia" w:ascii="楷体" w:hAnsi="楷体" w:eastAsia="楷体" w:cs="Times New Roman"/>
          <w:kern w:val="0"/>
          <w:sz w:val="28"/>
          <w:szCs w:val="28"/>
          <w:lang w:val="en-US" w:eastAsia="zh-CN" w:bidi="ar-SA"/>
        </w:rPr>
        <w:t>份额其他产品要素以产品说明书约定为准，后续如有调整，以产品管理人公告为准。</w:t>
      </w:r>
    </w:p>
    <w:p>
      <w:pPr>
        <w:pStyle w:val="11"/>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240" w:lineRule="auto"/>
        <w:ind w:firstLine="560" w:firstLineChars="200"/>
        <w:textAlignment w:val="auto"/>
        <w:outlineLvl w:val="9"/>
        <w:rPr>
          <w:rFonts w:hint="eastAsia" w:ascii="楷体" w:hAnsi="楷体" w:eastAsia="楷体" w:cs="Times New Roman"/>
          <w:sz w:val="28"/>
          <w:szCs w:val="28"/>
          <w:lang w:val="en-US" w:eastAsia="zh-CN"/>
        </w:rPr>
      </w:pPr>
      <w:r>
        <w:rPr>
          <w:rFonts w:hint="eastAsia" w:ascii="楷体" w:hAnsi="楷体" w:eastAsia="楷体" w:cs="Times New Roman"/>
          <w:sz w:val="28"/>
          <w:szCs w:val="28"/>
          <w:lang w:val="en-US" w:eastAsia="zh-CN"/>
        </w:rPr>
        <w:t>（2）调整业绩比较基准与超额业绩报酬</w:t>
      </w:r>
    </w:p>
    <w:p>
      <w:pPr>
        <w:pStyle w:val="11"/>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240" w:lineRule="auto"/>
        <w:ind w:firstLine="560" w:firstLineChars="200"/>
        <w:textAlignment w:val="auto"/>
        <w:outlineLvl w:val="9"/>
        <w:rPr>
          <w:rFonts w:hint="default" w:ascii="楷体" w:hAnsi="楷体" w:eastAsia="楷体" w:cs="Times New Roman"/>
          <w:kern w:val="0"/>
          <w:sz w:val="28"/>
          <w:szCs w:val="28"/>
          <w:lang w:val="en-US" w:eastAsia="zh-CN" w:bidi="ar-SA"/>
        </w:rPr>
      </w:pPr>
      <w:r>
        <w:rPr>
          <w:rFonts w:hint="default" w:ascii="楷体" w:hAnsi="楷体" w:eastAsia="楷体" w:cs="Times New Roman"/>
          <w:kern w:val="0"/>
          <w:sz w:val="28"/>
          <w:szCs w:val="28"/>
          <w:lang w:val="en-US" w:eastAsia="zh-CN" w:bidi="ar-SA"/>
        </w:rPr>
        <w:t>根据产品实际投资运作情况及市场变化情况</w:t>
      </w:r>
      <w:r>
        <w:rPr>
          <w:rFonts w:hint="eastAsia" w:ascii="楷体" w:hAnsi="楷体" w:eastAsia="楷体" w:cs="Times New Roman"/>
          <w:kern w:val="0"/>
          <w:sz w:val="28"/>
          <w:szCs w:val="28"/>
          <w:lang w:val="en-US" w:eastAsia="zh-CN" w:bidi="ar-SA"/>
        </w:rPr>
        <w:t>，管理人现对该理财产品的业绩比较基准和超额业绩报酬计提方式进行调整。</w:t>
      </w:r>
    </w:p>
    <w:p>
      <w:pPr>
        <w:pStyle w:val="11"/>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240" w:lineRule="auto"/>
        <w:ind w:firstLine="560" w:firstLineChars="200"/>
        <w:textAlignment w:val="auto"/>
        <w:outlineLvl w:val="9"/>
        <w:rPr>
          <w:rFonts w:hint="default" w:ascii="楷体" w:hAnsi="楷体" w:eastAsia="楷体" w:cs="Times New Roman"/>
          <w:sz w:val="28"/>
          <w:szCs w:val="28"/>
          <w:lang w:val="en-US" w:eastAsia="zh-CN"/>
        </w:rPr>
      </w:pPr>
      <w:r>
        <w:rPr>
          <w:rFonts w:hint="default" w:ascii="楷体" w:hAnsi="楷体" w:eastAsia="楷体" w:cs="Times New Roman"/>
          <w:kern w:val="0"/>
          <w:sz w:val="28"/>
          <w:szCs w:val="28"/>
          <w:lang w:val="en-US" w:eastAsia="zh-CN" w:bidi="ar-SA"/>
        </w:rPr>
        <w:t>业绩比较基准为管理人对本产品所设定的投资目标，不代表理财产品未来表现，不等于理财产品实际收益，不构成管理人对产品实际投资收益率的承诺或担保，投资者的实际收益由产品净值表现决定。</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7"/>
        <w:gridCol w:w="3561"/>
        <w:gridCol w:w="36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77"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hint="eastAsia" w:ascii="楷体" w:hAnsi="楷体" w:eastAsia="楷体"/>
                <w:b/>
                <w:bCs/>
                <w:sz w:val="21"/>
                <w:szCs w:val="21"/>
              </w:rPr>
            </w:pPr>
            <w:r>
              <w:rPr>
                <w:rFonts w:hint="eastAsia" w:ascii="楷体" w:hAnsi="楷体" w:eastAsia="楷体"/>
                <w:b/>
                <w:bCs/>
                <w:sz w:val="21"/>
                <w:szCs w:val="21"/>
              </w:rPr>
              <w:t>调整</w:t>
            </w:r>
          </w:p>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ascii="楷体" w:hAnsi="楷体" w:eastAsia="楷体"/>
                <w:sz w:val="21"/>
                <w:szCs w:val="21"/>
              </w:rPr>
            </w:pPr>
            <w:r>
              <w:rPr>
                <w:rFonts w:hint="eastAsia" w:ascii="楷体" w:hAnsi="楷体" w:eastAsia="楷体"/>
                <w:b/>
                <w:bCs/>
                <w:sz w:val="21"/>
                <w:szCs w:val="21"/>
              </w:rPr>
              <w:t>内容</w:t>
            </w:r>
          </w:p>
        </w:tc>
        <w:tc>
          <w:tcPr>
            <w:tcW w:w="3561"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119"/>
              <w:jc w:val="center"/>
              <w:textAlignment w:val="auto"/>
              <w:rPr>
                <w:rFonts w:ascii="楷体" w:hAnsi="楷体" w:eastAsia="楷体"/>
                <w:sz w:val="21"/>
                <w:szCs w:val="21"/>
              </w:rPr>
            </w:pPr>
            <w:r>
              <w:rPr>
                <w:rFonts w:hint="eastAsia" w:ascii="楷体" w:hAnsi="楷体" w:eastAsia="楷体"/>
                <w:b/>
                <w:bCs/>
                <w:sz w:val="21"/>
                <w:szCs w:val="21"/>
              </w:rPr>
              <w:t>调整前</w:t>
            </w:r>
          </w:p>
        </w:tc>
        <w:tc>
          <w:tcPr>
            <w:tcW w:w="3604"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119"/>
              <w:jc w:val="center"/>
              <w:textAlignment w:val="auto"/>
              <w:rPr>
                <w:rFonts w:ascii="楷体" w:hAnsi="楷体" w:eastAsia="楷体"/>
                <w:sz w:val="21"/>
                <w:szCs w:val="21"/>
              </w:rPr>
            </w:pPr>
            <w:r>
              <w:rPr>
                <w:rFonts w:hint="eastAsia" w:ascii="楷体" w:hAnsi="楷体" w:eastAsia="楷体"/>
                <w:b/>
                <w:bCs/>
                <w:sz w:val="21"/>
                <w:szCs w:val="21"/>
              </w:rPr>
              <w:t>调整后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277"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eastAsia" w:ascii="楷体" w:hAnsi="楷体" w:eastAsia="楷体"/>
                <w:sz w:val="21"/>
                <w:szCs w:val="21"/>
              </w:rPr>
            </w:pPr>
            <w:r>
              <w:rPr>
                <w:rFonts w:hint="eastAsia" w:ascii="楷体" w:hAnsi="楷体" w:eastAsia="楷体"/>
                <w:sz w:val="21"/>
                <w:szCs w:val="21"/>
              </w:rPr>
              <w:t>业绩比较</w:t>
            </w:r>
          </w:p>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eastAsia" w:ascii="楷体" w:hAnsi="楷体" w:eastAsia="楷体"/>
                <w:sz w:val="21"/>
                <w:szCs w:val="21"/>
              </w:rPr>
            </w:pPr>
            <w:r>
              <w:rPr>
                <w:rFonts w:hint="eastAsia" w:ascii="楷体" w:hAnsi="楷体" w:eastAsia="楷体"/>
                <w:sz w:val="21"/>
                <w:szCs w:val="21"/>
              </w:rPr>
              <w:t>基准</w:t>
            </w:r>
          </w:p>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eastAsia" w:ascii="楷体" w:hAnsi="楷体" w:eastAsia="楷体"/>
                <w:sz w:val="21"/>
                <w:szCs w:val="21"/>
              </w:rPr>
            </w:pPr>
            <w:r>
              <w:rPr>
                <w:rFonts w:hint="eastAsia" w:ascii="楷体" w:hAnsi="楷体" w:eastAsia="楷体"/>
                <w:sz w:val="21"/>
                <w:szCs w:val="21"/>
              </w:rPr>
              <w:t>（年化）</w:t>
            </w:r>
          </w:p>
        </w:tc>
        <w:tc>
          <w:tcPr>
            <w:tcW w:w="3561"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default" w:ascii="楷体" w:hAnsi="楷体" w:eastAsia="楷体" w:cs="楷体"/>
                <w:lang w:val="en-US" w:eastAsia="zh-CN"/>
              </w:rPr>
              <w:t>F份</w:t>
            </w:r>
            <w:r>
              <w:rPr>
                <w:rFonts w:hint="eastAsia" w:ascii="楷体" w:hAnsi="楷体" w:eastAsia="楷体" w:cs="楷体"/>
                <w:lang w:val="en-US" w:eastAsia="zh-CN"/>
              </w:rPr>
              <w:t>额2.80</w:t>
            </w:r>
            <w:r>
              <w:rPr>
                <w:rFonts w:hint="default" w:ascii="楷体" w:hAnsi="楷体" w:eastAsia="楷体" w:cs="楷体"/>
                <w:lang w:val="en-US" w:eastAsia="zh-CN"/>
              </w:rPr>
              <w:t>%-</w:t>
            </w:r>
            <w:r>
              <w:rPr>
                <w:rFonts w:hint="eastAsia" w:ascii="楷体" w:hAnsi="楷体" w:eastAsia="楷体" w:cs="楷体"/>
                <w:lang w:val="en-US" w:eastAsia="zh-CN"/>
              </w:rPr>
              <w:t>3.40</w:t>
            </w:r>
            <w:r>
              <w:rPr>
                <w:rFonts w:hint="default" w:ascii="楷体" w:hAnsi="楷体" w:eastAsia="楷体" w:cs="楷体"/>
                <w:lang w:val="en-US" w:eastAsia="zh-CN"/>
              </w:rPr>
              <w:t>%</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default" w:ascii="楷体" w:hAnsi="楷体" w:eastAsia="楷体" w:cs="楷体"/>
                <w:lang w:val="en-US" w:eastAsia="zh-CN"/>
              </w:rPr>
              <w:t>G份额</w:t>
            </w:r>
            <w:r>
              <w:rPr>
                <w:rFonts w:hint="eastAsia" w:ascii="楷体" w:hAnsi="楷体" w:eastAsia="楷体" w:cs="楷体"/>
                <w:lang w:val="en-US" w:eastAsia="zh-CN"/>
              </w:rPr>
              <w:t>2.85</w:t>
            </w:r>
            <w:r>
              <w:rPr>
                <w:rFonts w:hint="default" w:ascii="楷体" w:hAnsi="楷体" w:eastAsia="楷体" w:cs="楷体"/>
                <w:lang w:val="en-US" w:eastAsia="zh-CN"/>
              </w:rPr>
              <w:t>%-</w:t>
            </w:r>
            <w:r>
              <w:rPr>
                <w:rFonts w:hint="eastAsia" w:ascii="楷体" w:hAnsi="楷体" w:eastAsia="楷体" w:cs="楷体"/>
                <w:lang w:val="en-US" w:eastAsia="zh-CN"/>
              </w:rPr>
              <w:t>3.45</w:t>
            </w:r>
            <w:r>
              <w:rPr>
                <w:rFonts w:hint="default" w:ascii="楷体" w:hAnsi="楷体" w:eastAsia="楷体" w:cs="楷体"/>
                <w:lang w:val="en-US" w:eastAsia="zh-CN"/>
              </w:rPr>
              <w:t>%</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K份额2.70</w:t>
            </w:r>
            <w:r>
              <w:rPr>
                <w:rFonts w:hint="default" w:ascii="楷体" w:hAnsi="楷体" w:eastAsia="楷体" w:cs="楷体"/>
                <w:lang w:val="en-US" w:eastAsia="zh-CN"/>
              </w:rPr>
              <w:t>%-</w:t>
            </w:r>
            <w:r>
              <w:rPr>
                <w:rFonts w:hint="eastAsia" w:ascii="楷体" w:hAnsi="楷体" w:eastAsia="楷体" w:cs="楷体"/>
                <w:lang w:val="en-US" w:eastAsia="zh-CN"/>
              </w:rPr>
              <w:t>3.30</w:t>
            </w:r>
            <w:r>
              <w:rPr>
                <w:rFonts w:hint="default" w:ascii="楷体" w:hAnsi="楷体" w:eastAsia="楷体" w:cs="楷体"/>
                <w:lang w:val="en-US" w:eastAsia="zh-CN"/>
              </w:rPr>
              <w:t>%</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default" w:ascii="楷体" w:hAnsi="楷体" w:eastAsia="楷体" w:cs="楷体"/>
                <w:lang w:val="en-US" w:eastAsia="zh-CN"/>
              </w:rPr>
              <w:t>ZA份额</w:t>
            </w:r>
            <w:r>
              <w:rPr>
                <w:rFonts w:hint="eastAsia" w:ascii="楷体" w:hAnsi="楷体" w:eastAsia="楷体" w:cs="楷体"/>
                <w:lang w:val="en-US" w:eastAsia="zh-CN"/>
              </w:rPr>
              <w:t>2.80</w:t>
            </w:r>
            <w:r>
              <w:rPr>
                <w:rFonts w:hint="default" w:ascii="楷体" w:hAnsi="楷体" w:eastAsia="楷体" w:cs="楷体"/>
                <w:lang w:val="en-US" w:eastAsia="zh-CN"/>
              </w:rPr>
              <w:t>%-</w:t>
            </w:r>
            <w:r>
              <w:rPr>
                <w:rFonts w:hint="eastAsia" w:ascii="楷体" w:hAnsi="楷体" w:eastAsia="楷体" w:cs="楷体"/>
                <w:lang w:val="en-US" w:eastAsia="zh-CN"/>
              </w:rPr>
              <w:t>3.40</w:t>
            </w:r>
            <w:r>
              <w:rPr>
                <w:rFonts w:hint="default" w:ascii="楷体" w:hAnsi="楷体" w:eastAsia="楷体" w:cs="楷体"/>
                <w:lang w:val="en-US" w:eastAsia="zh-CN"/>
              </w:rPr>
              <w:t>%</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lang w:val="en-US" w:eastAsia="zh-CN"/>
              </w:rPr>
            </w:pPr>
            <w:r>
              <w:rPr>
                <w:rFonts w:hint="default" w:ascii="楷体" w:hAnsi="楷体" w:eastAsia="楷体" w:cs="楷体"/>
                <w:lang w:val="en-US" w:eastAsia="zh-CN"/>
              </w:rPr>
              <w:t>ZF份额</w:t>
            </w:r>
            <w:r>
              <w:rPr>
                <w:rFonts w:hint="eastAsia" w:ascii="楷体" w:hAnsi="楷体" w:eastAsia="楷体" w:cs="楷体"/>
                <w:lang w:val="en-US" w:eastAsia="zh-CN"/>
              </w:rPr>
              <w:t>2.80</w:t>
            </w:r>
            <w:r>
              <w:rPr>
                <w:rFonts w:hint="default" w:ascii="楷体" w:hAnsi="楷体" w:eastAsia="楷体" w:cs="楷体"/>
                <w:lang w:val="en-US" w:eastAsia="zh-CN"/>
              </w:rPr>
              <w:t>%-</w:t>
            </w:r>
            <w:r>
              <w:rPr>
                <w:rFonts w:hint="eastAsia" w:ascii="楷体" w:hAnsi="楷体" w:eastAsia="楷体" w:cs="楷体"/>
                <w:lang w:val="en-US" w:eastAsia="zh-CN"/>
              </w:rPr>
              <w:t>3.40</w:t>
            </w:r>
            <w:r>
              <w:rPr>
                <w:rFonts w:hint="default" w:ascii="楷体" w:hAnsi="楷体" w:eastAsia="楷体" w:cs="楷体"/>
                <w:lang w:val="en-US" w:eastAsia="zh-CN"/>
              </w:rPr>
              <w:t>%</w:t>
            </w:r>
          </w:p>
        </w:tc>
        <w:tc>
          <w:tcPr>
            <w:tcW w:w="3604"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F份额 2.55%-3.15%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G份额 2.60%-3.20%</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K份额 2.45%-3.05%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P份额 2.75%-3.35%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T份额 2.75%-3.35%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ZA份额 2.55%-3.15%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ZF份额 2.55%-3.15%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ZN份额 2.70%-3.30%</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lang w:val="en-US" w:eastAsia="zh-CN"/>
              </w:rPr>
            </w:pPr>
            <w:r>
              <w:rPr>
                <w:rFonts w:hint="eastAsia" w:ascii="楷体" w:hAnsi="楷体" w:eastAsia="楷体" w:cs="楷体"/>
                <w:lang w:val="en-US" w:eastAsia="zh-CN"/>
              </w:rPr>
              <w:t>ZQ份额 2.50%-3.10%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2" w:hRule="atLeast"/>
          <w:jc w:val="center"/>
        </w:trPr>
        <w:tc>
          <w:tcPr>
            <w:tcW w:w="1277"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360" w:lineRule="auto"/>
              <w:ind w:left="0"/>
              <w:jc w:val="center"/>
              <w:textAlignment w:val="auto"/>
              <w:rPr>
                <w:rFonts w:hint="eastAsia" w:ascii="楷体" w:hAnsi="楷体" w:eastAsia="楷体"/>
                <w:sz w:val="21"/>
                <w:szCs w:val="21"/>
              </w:rPr>
            </w:pPr>
            <w:r>
              <w:rPr>
                <w:rFonts w:hint="eastAsia" w:ascii="楷体" w:hAnsi="楷体" w:eastAsia="楷体"/>
                <w:sz w:val="21"/>
                <w:szCs w:val="21"/>
              </w:rPr>
              <w:t>超额业绩</w:t>
            </w:r>
          </w:p>
          <w:p>
            <w:pPr>
              <w:pStyle w:val="2"/>
              <w:keepNext w:val="0"/>
              <w:keepLines w:val="0"/>
              <w:pageBreakBefore w:val="0"/>
              <w:widowControl w:val="0"/>
              <w:kinsoku/>
              <w:wordWrap/>
              <w:overflowPunct/>
              <w:topLinePunct w:val="0"/>
              <w:autoSpaceDE w:val="0"/>
              <w:autoSpaceDN w:val="0"/>
              <w:bidi w:val="0"/>
              <w:adjustRightInd w:val="0"/>
              <w:snapToGrid/>
              <w:spacing w:before="0" w:line="360" w:lineRule="auto"/>
              <w:ind w:left="0"/>
              <w:jc w:val="center"/>
              <w:textAlignment w:val="auto"/>
              <w:rPr>
                <w:rFonts w:ascii="楷体" w:hAnsi="楷体" w:eastAsia="楷体"/>
                <w:sz w:val="21"/>
                <w:szCs w:val="21"/>
              </w:rPr>
            </w:pPr>
            <w:r>
              <w:rPr>
                <w:rFonts w:hint="eastAsia" w:ascii="楷体" w:hAnsi="楷体" w:eastAsia="楷体"/>
                <w:sz w:val="21"/>
                <w:szCs w:val="21"/>
              </w:rPr>
              <w:t>报酬</w:t>
            </w:r>
          </w:p>
        </w:tc>
        <w:tc>
          <w:tcPr>
            <w:tcW w:w="3561" w:type="dxa"/>
            <w:noWrap w:val="0"/>
            <w:vAlign w:val="center"/>
          </w:tcPr>
          <w:p>
            <w:pPr>
              <w:pStyle w:val="2"/>
              <w:keepNext w:val="0"/>
              <w:keepLines w:val="0"/>
              <w:pageBreakBefore w:val="0"/>
              <w:kinsoku/>
              <w:wordWrap/>
              <w:overflowPunct/>
              <w:topLinePunct w:val="0"/>
              <w:bidi w:val="0"/>
              <w:snapToGrid/>
              <w:spacing w:before="0" w:line="0" w:lineRule="atLeast"/>
              <w:ind w:left="0" w:leftChars="0" w:right="0" w:rightChars="0" w:firstLine="0" w:firstLineChars="0"/>
              <w:jc w:val="both"/>
              <w:rPr>
                <w:rFonts w:hint="eastAsia" w:ascii="楷体" w:hAnsi="楷体" w:eastAsia="楷体"/>
                <w:sz w:val="18"/>
                <w:szCs w:val="18"/>
                <w:lang w:eastAsia="zh-CN"/>
              </w:rPr>
            </w:pPr>
            <w:r>
              <w:rPr>
                <w:rFonts w:hint="eastAsia" w:ascii="楷体" w:hAnsi="楷体" w:eastAsia="楷体"/>
                <w:sz w:val="18"/>
                <w:szCs w:val="18"/>
                <w:lang w:eastAsia="zh-CN"/>
              </w:rPr>
              <w:t>管理人按投资周期收取超额业绩报酬。假设单一投资周期的各份额实际年化投资收益在扣除托管费、销售服务费、投资管理费以及运作产品所必须缴纳的税费后为R：</w:t>
            </w:r>
          </w:p>
          <w:p>
            <w:pPr>
              <w:pStyle w:val="2"/>
              <w:keepNext w:val="0"/>
              <w:keepLines w:val="0"/>
              <w:pageBreakBefore w:val="0"/>
              <w:kinsoku/>
              <w:wordWrap/>
              <w:overflowPunct/>
              <w:topLinePunct w:val="0"/>
              <w:bidi w:val="0"/>
              <w:snapToGrid/>
              <w:spacing w:before="0" w:line="0" w:lineRule="atLeast"/>
              <w:ind w:left="0" w:leftChars="0" w:right="0" w:rightChars="0" w:firstLine="0" w:firstLineChars="0"/>
              <w:jc w:val="both"/>
              <w:rPr>
                <w:rFonts w:hint="eastAsia" w:ascii="楷体" w:hAnsi="楷体" w:eastAsia="楷体"/>
                <w:sz w:val="18"/>
                <w:szCs w:val="18"/>
                <w:lang w:eastAsia="zh-CN"/>
              </w:rPr>
            </w:pPr>
            <w:r>
              <w:rPr>
                <w:rFonts w:hint="eastAsia" w:ascii="楷体" w:hAnsi="楷体" w:eastAsia="楷体"/>
                <w:sz w:val="18"/>
                <w:szCs w:val="18"/>
                <w:lang w:eastAsia="zh-CN"/>
              </w:rPr>
              <w:t>若R&lt;业绩比较基准下限+（业绩比较基准上限-业绩比较基准下限）*25%，管理人无超额业绩报酬；</w:t>
            </w:r>
          </w:p>
          <w:p>
            <w:pPr>
              <w:pStyle w:val="2"/>
              <w:keepNext w:val="0"/>
              <w:keepLines w:val="0"/>
              <w:pageBreakBefore w:val="0"/>
              <w:kinsoku/>
              <w:wordWrap/>
              <w:overflowPunct/>
              <w:topLinePunct w:val="0"/>
              <w:bidi w:val="0"/>
              <w:snapToGrid/>
              <w:spacing w:before="0" w:line="0" w:lineRule="atLeast"/>
              <w:ind w:left="0" w:leftChars="0" w:right="0" w:rightChars="0" w:firstLine="0" w:firstLineChars="0"/>
              <w:jc w:val="both"/>
              <w:rPr>
                <w:rFonts w:hint="eastAsia" w:ascii="楷体" w:hAnsi="楷体" w:eastAsia="楷体"/>
                <w:sz w:val="18"/>
                <w:szCs w:val="18"/>
                <w:lang w:eastAsia="zh-CN"/>
              </w:rPr>
            </w:pPr>
            <w:r>
              <w:rPr>
                <w:rFonts w:hint="eastAsia" w:ascii="楷体" w:hAnsi="楷体" w:eastAsia="楷体"/>
                <w:sz w:val="18"/>
                <w:szCs w:val="18"/>
                <w:lang w:eastAsia="zh-CN"/>
              </w:rPr>
              <w:t>若业绩比较基准下限+（业绩比较基准上限-业绩比较基准下限）*25%≤R&lt;业绩比较基准上限，管理人对超出【业绩比较基准下限+（业绩比较基准上限-业绩比较基准下限）*25%】的部分，收取40%的超额业绩报酬；</w:t>
            </w:r>
          </w:p>
          <w:p>
            <w:pPr>
              <w:pStyle w:val="2"/>
              <w:keepNext w:val="0"/>
              <w:keepLines w:val="0"/>
              <w:pageBreakBefore w:val="0"/>
              <w:kinsoku/>
              <w:wordWrap/>
              <w:overflowPunct/>
              <w:topLinePunct w:val="0"/>
              <w:bidi w:val="0"/>
              <w:snapToGrid/>
              <w:spacing w:before="0" w:line="0" w:lineRule="atLeast"/>
              <w:ind w:left="0" w:leftChars="0" w:right="0" w:rightChars="0" w:firstLine="0" w:firstLineChars="0"/>
              <w:jc w:val="both"/>
              <w:rPr>
                <w:rFonts w:hint="eastAsia" w:ascii="楷体" w:hAnsi="楷体" w:eastAsia="楷体"/>
                <w:sz w:val="18"/>
                <w:szCs w:val="18"/>
                <w:lang w:eastAsia="zh-CN"/>
              </w:rPr>
            </w:pPr>
            <w:r>
              <w:rPr>
                <w:rFonts w:hint="eastAsia" w:ascii="楷体" w:hAnsi="楷体" w:eastAsia="楷体"/>
                <w:sz w:val="18"/>
                <w:szCs w:val="18"/>
                <w:lang w:eastAsia="zh-CN"/>
              </w:rPr>
              <w:t>若R≥业绩比较基准上限，管理人对【业绩比较基准下限+（业绩比较基准上限-业绩比较基准下限）*25%】与业绩比较基准上限之间的部分，收取40%的超额业绩报酬；管理人对超出业绩比较基准上限的部分，收取60%的超额业绩报酬。</w:t>
            </w:r>
          </w:p>
        </w:tc>
        <w:tc>
          <w:tcPr>
            <w:tcW w:w="3604" w:type="dxa"/>
            <w:noWrap w:val="0"/>
            <w:vAlign w:val="center"/>
          </w:tcPr>
          <w:p>
            <w:pPr>
              <w:keepNext w:val="0"/>
              <w:keepLines w:val="0"/>
              <w:pageBreakBefore w:val="0"/>
              <w:numPr>
                <w:ilvl w:val="0"/>
                <w:numId w:val="0"/>
              </w:numPr>
              <w:kinsoku/>
              <w:wordWrap/>
              <w:overflowPunct/>
              <w:topLinePunct w:val="0"/>
              <w:bidi w:val="0"/>
              <w:snapToGrid/>
              <w:spacing w:line="0" w:lineRule="atLeast"/>
              <w:ind w:right="0" w:rightChars="0"/>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管理人按投资周期收取超额业绩报酬。假设单一投资周期的各份额实际年化投资收益在扣除托管费、销售服务费、投资管理费以及运作产品所必须缴纳的税费后为R：</w:t>
            </w:r>
          </w:p>
          <w:p>
            <w:pPr>
              <w:keepNext w:val="0"/>
              <w:keepLines w:val="0"/>
              <w:pageBreakBefore w:val="0"/>
              <w:numPr>
                <w:ilvl w:val="0"/>
                <w:numId w:val="0"/>
              </w:numPr>
              <w:kinsoku/>
              <w:wordWrap/>
              <w:overflowPunct/>
              <w:topLinePunct w:val="0"/>
              <w:bidi w:val="0"/>
              <w:snapToGrid/>
              <w:spacing w:line="0" w:lineRule="atLeast"/>
              <w:ind w:right="0" w:rightChars="0"/>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若R&lt;业绩比较基准下限</w:t>
            </w:r>
            <w:r>
              <w:rPr>
                <w:rFonts w:hint="eastAsia" w:ascii="楷体" w:hAnsi="楷体" w:eastAsia="楷体" w:cs="宋体"/>
                <w:spacing w:val="-2"/>
                <w:sz w:val="18"/>
                <w:szCs w:val="18"/>
                <w:highlight w:val="none"/>
                <w:lang w:val="en-US" w:eastAsia="zh-CN"/>
              </w:rPr>
              <w:t>+（业绩比较基准上限-业绩比较基准下限）*60%</w:t>
            </w:r>
            <w:r>
              <w:rPr>
                <w:rFonts w:hint="eastAsia" w:ascii="楷体" w:hAnsi="楷体" w:eastAsia="楷体" w:cs="宋体"/>
                <w:spacing w:val="-2"/>
                <w:sz w:val="18"/>
                <w:szCs w:val="18"/>
                <w:highlight w:val="none"/>
              </w:rPr>
              <w:t>，管理人无超额业绩报酬；</w:t>
            </w:r>
          </w:p>
          <w:p>
            <w:pPr>
              <w:keepNext w:val="0"/>
              <w:keepLines w:val="0"/>
              <w:pageBreakBefore w:val="0"/>
              <w:numPr>
                <w:ilvl w:val="0"/>
                <w:numId w:val="0"/>
              </w:numPr>
              <w:kinsoku/>
              <w:wordWrap/>
              <w:overflowPunct/>
              <w:topLinePunct w:val="0"/>
              <w:bidi w:val="0"/>
              <w:snapToGrid/>
              <w:spacing w:line="0" w:lineRule="atLeast"/>
              <w:ind w:right="0" w:rightChars="0"/>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若业绩比较基准下限</w:t>
            </w:r>
            <w:r>
              <w:rPr>
                <w:rFonts w:hint="eastAsia" w:ascii="楷体" w:hAnsi="楷体" w:eastAsia="楷体" w:cs="宋体"/>
                <w:spacing w:val="-2"/>
                <w:sz w:val="18"/>
                <w:szCs w:val="18"/>
                <w:highlight w:val="none"/>
                <w:lang w:val="en-US" w:eastAsia="zh-CN"/>
              </w:rPr>
              <w:t>+（业绩比较基准上限-业绩比较基准下限）*60%</w:t>
            </w:r>
            <w:r>
              <w:rPr>
                <w:rFonts w:hint="eastAsia" w:ascii="楷体" w:hAnsi="楷体" w:eastAsia="楷体" w:cs="宋体"/>
                <w:spacing w:val="-2"/>
                <w:sz w:val="18"/>
                <w:szCs w:val="18"/>
                <w:highlight w:val="none"/>
              </w:rPr>
              <w:t>≤R&lt;业绩比较基准上限，管理人对超出【业绩比较基准下限+（业绩比较基准上限-业绩比较基准下限）*</w:t>
            </w:r>
            <w:r>
              <w:rPr>
                <w:rFonts w:hint="eastAsia" w:ascii="楷体" w:hAnsi="楷体" w:eastAsia="楷体" w:cs="宋体"/>
                <w:spacing w:val="-2"/>
                <w:sz w:val="18"/>
                <w:szCs w:val="18"/>
                <w:highlight w:val="none"/>
                <w:lang w:val="en-US" w:eastAsia="zh-CN"/>
              </w:rPr>
              <w:t>60</w:t>
            </w:r>
            <w:r>
              <w:rPr>
                <w:rFonts w:hint="eastAsia" w:ascii="楷体" w:hAnsi="楷体" w:eastAsia="楷体" w:cs="宋体"/>
                <w:spacing w:val="-2"/>
                <w:sz w:val="18"/>
                <w:szCs w:val="18"/>
                <w:highlight w:val="none"/>
              </w:rPr>
              <w:t>%】的部分，收取40%的超额业绩报酬；</w:t>
            </w:r>
          </w:p>
          <w:p>
            <w:pPr>
              <w:keepNext w:val="0"/>
              <w:keepLines w:val="0"/>
              <w:pageBreakBefore w:val="0"/>
              <w:numPr>
                <w:ilvl w:val="0"/>
                <w:numId w:val="0"/>
              </w:numPr>
              <w:kinsoku/>
              <w:wordWrap/>
              <w:overflowPunct/>
              <w:topLinePunct w:val="0"/>
              <w:bidi w:val="0"/>
              <w:snapToGrid/>
              <w:spacing w:line="0" w:lineRule="atLeast"/>
              <w:ind w:right="0" w:rightChars="0"/>
              <w:rPr>
                <w:rFonts w:hint="eastAsia" w:ascii="楷体" w:hAnsi="楷体" w:eastAsia="楷体"/>
                <w:sz w:val="18"/>
                <w:szCs w:val="18"/>
              </w:rPr>
            </w:pPr>
            <w:r>
              <w:rPr>
                <w:rFonts w:hint="eastAsia" w:ascii="楷体" w:hAnsi="楷体" w:eastAsia="楷体" w:cs="宋体"/>
                <w:spacing w:val="-2"/>
                <w:sz w:val="18"/>
                <w:szCs w:val="18"/>
                <w:highlight w:val="none"/>
              </w:rPr>
              <w:t>若R≥业绩比较基准上限，管理人对</w:t>
            </w:r>
            <w:r>
              <w:rPr>
                <w:rFonts w:hint="eastAsia" w:ascii="楷体" w:hAnsi="楷体" w:eastAsia="楷体" w:cs="宋体"/>
                <w:spacing w:val="-2"/>
                <w:sz w:val="18"/>
                <w:szCs w:val="18"/>
                <w:highlight w:val="none"/>
                <w:lang w:eastAsia="zh-CN"/>
              </w:rPr>
              <w:t>【</w:t>
            </w:r>
            <w:r>
              <w:rPr>
                <w:rFonts w:hint="eastAsia" w:ascii="楷体" w:hAnsi="楷体" w:eastAsia="楷体" w:cs="宋体"/>
                <w:spacing w:val="-2"/>
                <w:sz w:val="18"/>
                <w:szCs w:val="18"/>
                <w:highlight w:val="none"/>
              </w:rPr>
              <w:t>业绩比较基准下限</w:t>
            </w:r>
            <w:r>
              <w:rPr>
                <w:rFonts w:hint="eastAsia" w:ascii="楷体" w:hAnsi="楷体" w:eastAsia="楷体" w:cs="宋体"/>
                <w:spacing w:val="-2"/>
                <w:sz w:val="18"/>
                <w:szCs w:val="18"/>
                <w:highlight w:val="none"/>
                <w:lang w:val="en-US" w:eastAsia="zh-CN"/>
              </w:rPr>
              <w:t>+（业绩比较基准上限-业绩比较基准下限）*60%】</w:t>
            </w:r>
            <w:r>
              <w:rPr>
                <w:rFonts w:hint="eastAsia" w:ascii="楷体" w:hAnsi="楷体" w:eastAsia="楷体" w:cs="宋体"/>
                <w:spacing w:val="-2"/>
                <w:sz w:val="18"/>
                <w:szCs w:val="18"/>
                <w:highlight w:val="none"/>
              </w:rPr>
              <w:t>与业绩比较基准</w:t>
            </w:r>
            <w:r>
              <w:rPr>
                <w:rFonts w:hint="eastAsia" w:ascii="楷体" w:hAnsi="楷体" w:eastAsia="楷体" w:cs="宋体"/>
                <w:spacing w:val="-2"/>
                <w:sz w:val="18"/>
                <w:szCs w:val="18"/>
                <w:highlight w:val="none"/>
                <w:lang w:val="en-US" w:eastAsia="zh-CN"/>
              </w:rPr>
              <w:t>上</w:t>
            </w:r>
            <w:r>
              <w:rPr>
                <w:rFonts w:hint="eastAsia" w:ascii="楷体" w:hAnsi="楷体" w:eastAsia="楷体" w:cs="宋体"/>
                <w:spacing w:val="-2"/>
                <w:sz w:val="18"/>
                <w:szCs w:val="18"/>
                <w:highlight w:val="none"/>
              </w:rPr>
              <w:t>限之间的部分，收取40%的超额业绩报酬；管理人对超出业绩比较基准上限的部分，收取60%的超额业绩报酬。</w:t>
            </w:r>
          </w:p>
        </w:tc>
      </w:tr>
    </w:tbl>
    <w:p>
      <w:pPr>
        <w:pStyle w:val="11"/>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240" w:lineRule="auto"/>
        <w:ind w:firstLine="560" w:firstLineChars="200"/>
        <w:textAlignment w:val="auto"/>
        <w:outlineLvl w:val="9"/>
        <w:rPr>
          <w:rFonts w:hint="eastAsia" w:ascii="楷体" w:hAnsi="楷体" w:eastAsia="楷体" w:cs="Times New Roman"/>
          <w:sz w:val="28"/>
          <w:szCs w:val="28"/>
          <w:lang w:val="en-US" w:eastAsia="zh-CN"/>
        </w:rPr>
      </w:pPr>
      <w:r>
        <w:rPr>
          <w:rFonts w:hint="eastAsia" w:ascii="楷体" w:hAnsi="楷体" w:eastAsia="楷体" w:cs="Times New Roman"/>
          <w:sz w:val="28"/>
          <w:szCs w:val="28"/>
          <w:lang w:val="en-US" w:eastAsia="zh-CN"/>
        </w:rPr>
        <w:t>（4）调整说明书的销售费和管理费</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7"/>
        <w:gridCol w:w="2999"/>
        <w:gridCol w:w="41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77"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hint="eastAsia" w:ascii="楷体" w:hAnsi="楷体" w:eastAsia="楷体"/>
                <w:b/>
                <w:bCs/>
                <w:sz w:val="21"/>
                <w:szCs w:val="21"/>
              </w:rPr>
            </w:pPr>
            <w:r>
              <w:rPr>
                <w:rFonts w:hint="eastAsia" w:ascii="楷体" w:hAnsi="楷体" w:eastAsia="楷体"/>
                <w:b/>
                <w:bCs/>
                <w:sz w:val="21"/>
                <w:szCs w:val="21"/>
              </w:rPr>
              <w:t>调整</w:t>
            </w:r>
          </w:p>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ascii="楷体" w:hAnsi="楷体" w:eastAsia="楷体"/>
                <w:sz w:val="21"/>
                <w:szCs w:val="21"/>
              </w:rPr>
            </w:pPr>
            <w:r>
              <w:rPr>
                <w:rFonts w:hint="eastAsia" w:ascii="楷体" w:hAnsi="楷体" w:eastAsia="楷体"/>
                <w:b/>
                <w:bCs/>
                <w:sz w:val="21"/>
                <w:szCs w:val="21"/>
              </w:rPr>
              <w:t>内容</w:t>
            </w:r>
          </w:p>
        </w:tc>
        <w:tc>
          <w:tcPr>
            <w:tcW w:w="2999"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119"/>
              <w:jc w:val="center"/>
              <w:textAlignment w:val="auto"/>
              <w:rPr>
                <w:rFonts w:ascii="楷体" w:hAnsi="楷体" w:eastAsia="楷体"/>
                <w:sz w:val="21"/>
                <w:szCs w:val="21"/>
              </w:rPr>
            </w:pPr>
            <w:r>
              <w:rPr>
                <w:rFonts w:hint="eastAsia" w:ascii="楷体" w:hAnsi="楷体" w:eastAsia="楷体"/>
                <w:b/>
                <w:bCs/>
                <w:sz w:val="21"/>
                <w:szCs w:val="21"/>
              </w:rPr>
              <w:t>调整前</w:t>
            </w:r>
          </w:p>
        </w:tc>
        <w:tc>
          <w:tcPr>
            <w:tcW w:w="4166"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119"/>
              <w:jc w:val="center"/>
              <w:textAlignment w:val="auto"/>
              <w:rPr>
                <w:rFonts w:ascii="楷体" w:hAnsi="楷体" w:eastAsia="楷体"/>
                <w:sz w:val="21"/>
                <w:szCs w:val="21"/>
              </w:rPr>
            </w:pPr>
            <w:r>
              <w:rPr>
                <w:rFonts w:hint="eastAsia" w:ascii="楷体" w:hAnsi="楷体" w:eastAsia="楷体"/>
                <w:b/>
                <w:bCs/>
                <w:sz w:val="21"/>
                <w:szCs w:val="21"/>
              </w:rPr>
              <w:t>调整后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277"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default" w:ascii="楷体" w:hAnsi="楷体" w:eastAsia="楷体"/>
                <w:sz w:val="21"/>
                <w:szCs w:val="21"/>
                <w:lang w:val="en-US" w:eastAsia="zh-CN"/>
              </w:rPr>
            </w:pPr>
            <w:r>
              <w:rPr>
                <w:rFonts w:hint="eastAsia" w:ascii="楷体" w:hAnsi="楷体" w:eastAsia="楷体"/>
                <w:sz w:val="21"/>
                <w:szCs w:val="21"/>
              </w:rPr>
              <w:t>销售服务费率</w:t>
            </w:r>
            <w:r>
              <w:rPr>
                <w:rFonts w:hint="eastAsia" w:ascii="楷体" w:hAnsi="楷体" w:eastAsia="楷体"/>
                <w:sz w:val="21"/>
                <w:szCs w:val="21"/>
                <w:lang w:eastAsia="zh-CN"/>
              </w:rPr>
              <w:t>（</w:t>
            </w:r>
            <w:r>
              <w:rPr>
                <w:rFonts w:hint="eastAsia" w:ascii="楷体" w:hAnsi="楷体" w:eastAsia="楷体"/>
                <w:sz w:val="21"/>
                <w:szCs w:val="21"/>
                <w:lang w:val="en-US" w:eastAsia="zh-CN"/>
              </w:rPr>
              <w:t>说明书）</w:t>
            </w:r>
          </w:p>
        </w:tc>
        <w:tc>
          <w:tcPr>
            <w:tcW w:w="2999"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lang w:val="en-US" w:eastAsia="zh-CN"/>
              </w:rPr>
              <w:t>F</w:t>
            </w:r>
            <w:r>
              <w:rPr>
                <w:rFonts w:hint="eastAsia" w:ascii="楷体" w:hAnsi="楷体" w:eastAsia="楷体"/>
                <w:sz w:val="20"/>
                <w:szCs w:val="20"/>
              </w:rPr>
              <w:t>份额</w:t>
            </w:r>
            <w:r>
              <w:rPr>
                <w:rFonts w:hint="eastAsia" w:ascii="楷体" w:hAnsi="楷体" w:eastAsia="楷体"/>
                <w:sz w:val="20"/>
                <w:szCs w:val="20"/>
                <w:lang w:val="en-US" w:eastAsia="zh-CN"/>
              </w:rPr>
              <w:t xml:space="preserve"> 0.10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rPr>
              <w:t xml:space="preserve">G份额 </w:t>
            </w:r>
            <w:r>
              <w:rPr>
                <w:rFonts w:hint="eastAsia" w:ascii="楷体" w:hAnsi="楷体" w:eastAsia="楷体"/>
                <w:sz w:val="20"/>
                <w:szCs w:val="20"/>
                <w:lang w:val="en-US" w:eastAsia="zh-CN"/>
              </w:rPr>
              <w:t>0.05</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default" w:ascii="楷体" w:hAnsi="楷体" w:eastAsia="楷体"/>
                <w:sz w:val="20"/>
                <w:szCs w:val="20"/>
                <w:lang w:val="en-US" w:eastAsia="zh-CN"/>
              </w:rPr>
            </w:pPr>
            <w:r>
              <w:rPr>
                <w:rFonts w:hint="eastAsia" w:ascii="楷体" w:hAnsi="楷体" w:eastAsia="楷体"/>
                <w:sz w:val="20"/>
                <w:szCs w:val="20"/>
                <w:lang w:val="en-US" w:eastAsia="zh-CN"/>
              </w:rPr>
              <w:t>K份额 0.10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default" w:ascii="楷体" w:hAnsi="楷体" w:eastAsia="楷体"/>
                <w:sz w:val="20"/>
                <w:szCs w:val="20"/>
                <w:lang w:val="en-US" w:eastAsia="zh-CN"/>
              </w:rPr>
            </w:pPr>
            <w:r>
              <w:rPr>
                <w:rFonts w:hint="eastAsia" w:ascii="楷体" w:hAnsi="楷体" w:eastAsia="楷体"/>
                <w:sz w:val="20"/>
                <w:szCs w:val="20"/>
                <w:lang w:val="en-US" w:eastAsia="zh-CN"/>
              </w:rPr>
              <w:t>ZA份额 0.10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default"/>
                <w:lang w:val="en-US" w:eastAsia="zh-CN"/>
              </w:rPr>
            </w:pPr>
            <w:r>
              <w:rPr>
                <w:rFonts w:hint="eastAsia" w:ascii="楷体" w:hAnsi="楷体" w:eastAsia="楷体" w:cs="Times New Roman"/>
                <w:sz w:val="20"/>
                <w:szCs w:val="20"/>
                <w:lang w:val="en-US" w:eastAsia="zh-CN"/>
              </w:rPr>
              <w:t>ZF份额 0.10%/年</w:t>
            </w:r>
          </w:p>
        </w:tc>
        <w:tc>
          <w:tcPr>
            <w:tcW w:w="4166"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F份额 0.70%/年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G份额 0.60%/年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K份额 0.80%/年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P份额 0.50%/年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T份额 0.50%/年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ZA份额 0.70%/年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ZF份额 0.70%/年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ZN份额 0.55%/年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lang w:val="en-US" w:eastAsia="zh-CN"/>
              </w:rPr>
            </w:pPr>
            <w:r>
              <w:rPr>
                <w:rFonts w:hint="eastAsia" w:ascii="楷体" w:hAnsi="楷体" w:eastAsia="楷体" w:cs="楷体"/>
                <w:lang w:val="en-US" w:eastAsia="zh-CN"/>
              </w:rPr>
              <w:t>ZQ份额 0.70%/年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6" w:hRule="atLeast"/>
          <w:jc w:val="center"/>
        </w:trPr>
        <w:tc>
          <w:tcPr>
            <w:tcW w:w="1277"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360" w:lineRule="auto"/>
              <w:ind w:left="0"/>
              <w:jc w:val="center"/>
              <w:textAlignment w:val="auto"/>
              <w:rPr>
                <w:rFonts w:hint="default" w:ascii="楷体" w:hAnsi="楷体" w:eastAsia="楷体"/>
                <w:sz w:val="21"/>
                <w:szCs w:val="21"/>
                <w:lang w:val="en-US" w:eastAsia="zh-CN"/>
              </w:rPr>
            </w:pPr>
            <w:r>
              <w:rPr>
                <w:rFonts w:hint="eastAsia" w:ascii="楷体" w:hAnsi="楷体" w:eastAsia="楷体"/>
                <w:sz w:val="21"/>
                <w:szCs w:val="21"/>
              </w:rPr>
              <w:t>投资管理费率</w:t>
            </w:r>
            <w:r>
              <w:rPr>
                <w:rFonts w:hint="eastAsia" w:ascii="楷体" w:hAnsi="楷体" w:eastAsia="楷体"/>
                <w:sz w:val="21"/>
                <w:szCs w:val="21"/>
                <w:lang w:eastAsia="zh-CN"/>
              </w:rPr>
              <w:t>（</w:t>
            </w:r>
            <w:r>
              <w:rPr>
                <w:rFonts w:hint="eastAsia" w:ascii="楷体" w:hAnsi="楷体" w:eastAsia="楷体"/>
                <w:sz w:val="21"/>
                <w:szCs w:val="21"/>
                <w:lang w:val="en-US" w:eastAsia="zh-CN"/>
              </w:rPr>
              <w:t>说明书）</w:t>
            </w:r>
          </w:p>
        </w:tc>
        <w:tc>
          <w:tcPr>
            <w:tcW w:w="2999"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lang w:val="en-US" w:eastAsia="zh-CN"/>
              </w:rPr>
            </w:pPr>
            <w:r>
              <w:rPr>
                <w:rFonts w:hint="eastAsia" w:ascii="楷体" w:hAnsi="楷体" w:eastAsia="楷体"/>
                <w:sz w:val="20"/>
                <w:szCs w:val="20"/>
                <w:lang w:val="en-US" w:eastAsia="zh-CN"/>
              </w:rPr>
              <w:t>F</w:t>
            </w:r>
            <w:r>
              <w:rPr>
                <w:rFonts w:hint="eastAsia" w:ascii="楷体" w:hAnsi="楷体" w:eastAsia="楷体"/>
                <w:sz w:val="20"/>
                <w:szCs w:val="20"/>
              </w:rPr>
              <w:t xml:space="preserve">份额 </w:t>
            </w:r>
            <w:r>
              <w:rPr>
                <w:rFonts w:hint="eastAsia" w:ascii="楷体" w:hAnsi="楷体" w:eastAsia="楷体"/>
                <w:sz w:val="20"/>
                <w:szCs w:val="20"/>
                <w:lang w:val="en-US" w:eastAsia="zh-CN"/>
              </w:rPr>
              <w:t>0.30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rPr>
              <w:t xml:space="preserve">G份额 </w:t>
            </w:r>
            <w:r>
              <w:rPr>
                <w:rFonts w:hint="eastAsia" w:ascii="楷体" w:hAnsi="楷体" w:eastAsia="楷体"/>
                <w:sz w:val="20"/>
                <w:szCs w:val="20"/>
                <w:lang w:val="en-US" w:eastAsia="zh-CN"/>
              </w:rPr>
              <w:t>0.30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lang w:val="en-US" w:eastAsia="zh-CN"/>
              </w:rPr>
              <w:t>J份额</w:t>
            </w:r>
            <w:r>
              <w:rPr>
                <w:rFonts w:hint="eastAsia" w:ascii="楷体" w:hAnsi="楷体" w:eastAsia="楷体"/>
                <w:sz w:val="20"/>
                <w:szCs w:val="20"/>
              </w:rPr>
              <w:t xml:space="preserve"> </w:t>
            </w:r>
            <w:r>
              <w:rPr>
                <w:rFonts w:hint="eastAsia" w:ascii="楷体" w:hAnsi="楷体" w:eastAsia="楷体"/>
                <w:sz w:val="20"/>
                <w:szCs w:val="20"/>
                <w:lang w:val="en-US" w:eastAsia="zh-CN"/>
              </w:rPr>
              <w:t>0.20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default" w:ascii="楷体" w:hAnsi="楷体" w:eastAsia="楷体"/>
                <w:sz w:val="20"/>
                <w:szCs w:val="20"/>
                <w:lang w:val="en-US" w:eastAsia="zh-CN"/>
              </w:rPr>
            </w:pPr>
            <w:r>
              <w:rPr>
                <w:rFonts w:hint="eastAsia" w:ascii="楷体" w:hAnsi="楷体" w:eastAsia="楷体"/>
                <w:sz w:val="20"/>
                <w:szCs w:val="20"/>
                <w:lang w:val="en-US" w:eastAsia="zh-CN"/>
              </w:rPr>
              <w:t>K份额 0.40%/年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default" w:ascii="楷体" w:hAnsi="楷体" w:eastAsia="楷体"/>
                <w:sz w:val="20"/>
                <w:szCs w:val="20"/>
                <w:lang w:val="en-US" w:eastAsia="zh-CN"/>
              </w:rPr>
            </w:pPr>
            <w:r>
              <w:rPr>
                <w:rFonts w:hint="eastAsia" w:ascii="楷体" w:hAnsi="楷体" w:eastAsia="楷体"/>
                <w:sz w:val="20"/>
                <w:szCs w:val="20"/>
                <w:lang w:val="en-US" w:eastAsia="zh-CN"/>
              </w:rPr>
              <w:t>ZA份额 0.30</w:t>
            </w:r>
            <w:r>
              <w:rPr>
                <w:rFonts w:hint="eastAsia" w:ascii="楷体" w:hAnsi="楷体" w:eastAsia="楷体"/>
                <w:sz w:val="20"/>
                <w:szCs w:val="20"/>
              </w:rPr>
              <w:t>%/年</w:t>
            </w:r>
          </w:p>
          <w:p>
            <w:pPr>
              <w:pStyle w:val="2"/>
              <w:keepNext w:val="0"/>
              <w:keepLines w:val="0"/>
              <w:pageBreakBefore w:val="0"/>
              <w:kinsoku/>
              <w:wordWrap/>
              <w:overflowPunct/>
              <w:topLinePunct w:val="0"/>
              <w:bidi w:val="0"/>
              <w:snapToGrid/>
              <w:spacing w:before="0" w:line="0" w:lineRule="atLeast"/>
              <w:ind w:right="0" w:rightChars="0"/>
              <w:jc w:val="center"/>
              <w:rPr>
                <w:rFonts w:hint="default" w:ascii="楷体" w:hAnsi="楷体" w:eastAsia="楷体"/>
                <w:sz w:val="18"/>
                <w:szCs w:val="18"/>
                <w:lang w:val="en-US" w:eastAsia="zh-CN"/>
              </w:rPr>
            </w:pPr>
            <w:r>
              <w:rPr>
                <w:rFonts w:hint="eastAsia" w:ascii="楷体" w:hAnsi="楷体" w:eastAsia="楷体"/>
                <w:sz w:val="20"/>
                <w:szCs w:val="20"/>
                <w:lang w:val="en-US" w:eastAsia="zh-CN"/>
              </w:rPr>
              <w:t>ZF份额 0.30</w:t>
            </w:r>
            <w:r>
              <w:rPr>
                <w:rFonts w:hint="eastAsia" w:ascii="楷体" w:hAnsi="楷体" w:eastAsia="楷体"/>
                <w:sz w:val="20"/>
                <w:szCs w:val="20"/>
              </w:rPr>
              <w:t>%/年</w:t>
            </w:r>
          </w:p>
        </w:tc>
        <w:tc>
          <w:tcPr>
            <w:tcW w:w="4166"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F份额 0.60%/年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G份额 0.65%/年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K份额 0.60%/年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P份额 0.60%/年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T份额 0.60%/年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ZA份额 0.60%/年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ZF份额 0.60%/年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ZN份额 0.60%/年</w:t>
            </w:r>
          </w:p>
          <w:p>
            <w:pPr>
              <w:keepNext w:val="0"/>
              <w:keepLines w:val="0"/>
              <w:pageBreakBefore w:val="0"/>
              <w:numPr>
                <w:ilvl w:val="0"/>
                <w:numId w:val="0"/>
              </w:numPr>
              <w:kinsoku/>
              <w:wordWrap/>
              <w:overflowPunct/>
              <w:topLinePunct w:val="0"/>
              <w:bidi w:val="0"/>
              <w:snapToGrid/>
              <w:spacing w:line="0" w:lineRule="atLeast"/>
              <w:ind w:right="0" w:rightChars="0"/>
              <w:jc w:val="center"/>
              <w:rPr>
                <w:rFonts w:hint="default" w:ascii="楷体" w:hAnsi="楷体" w:eastAsia="楷体"/>
                <w:sz w:val="18"/>
                <w:szCs w:val="18"/>
                <w:lang w:val="en-US"/>
              </w:rPr>
            </w:pPr>
            <w:r>
              <w:rPr>
                <w:rFonts w:hint="eastAsia" w:ascii="楷体" w:hAnsi="楷体" w:eastAsia="楷体" w:cs="楷体"/>
                <w:kern w:val="0"/>
                <w:sz w:val="20"/>
                <w:szCs w:val="21"/>
                <w:lang w:val="en-US" w:eastAsia="zh-CN" w:bidi="ar-SA"/>
              </w:rPr>
              <w:t>ZQ份额 0.65%/年</w:t>
            </w:r>
          </w:p>
        </w:tc>
      </w:tr>
    </w:tbl>
    <w:p>
      <w:pPr>
        <w:pStyle w:val="2"/>
        <w:numPr>
          <w:ilvl w:val="0"/>
          <w:numId w:val="0"/>
        </w:numPr>
        <w:spacing w:before="0" w:line="480" w:lineRule="auto"/>
        <w:ind w:firstLine="560" w:firstLineChars="200"/>
        <w:jc w:val="both"/>
        <w:rPr>
          <w:rFonts w:hint="default"/>
          <w:lang w:val="en-US" w:eastAsia="zh-CN"/>
        </w:rPr>
      </w:pPr>
      <w:r>
        <w:rPr>
          <w:rFonts w:hint="eastAsia" w:ascii="楷体" w:hAnsi="楷体" w:eastAsia="楷体"/>
          <w:sz w:val="28"/>
          <w:szCs w:val="28"/>
          <w:lang w:val="en-US" w:eastAsia="zh-CN"/>
        </w:rPr>
        <w:t>产品存续期内管理人可根据业务情况对费用进行优惠，实际收取费率以管理人公告为准。</w:t>
      </w:r>
    </w:p>
    <w:p>
      <w:pPr>
        <w:pStyle w:val="2"/>
        <w:spacing w:before="0" w:line="480" w:lineRule="auto"/>
        <w:ind w:left="0" w:leftChars="0" w:firstLine="560" w:firstLineChars="200"/>
        <w:jc w:val="both"/>
        <w:rPr>
          <w:rFonts w:ascii="楷体" w:hAnsi="楷体" w:eastAsia="楷体"/>
          <w:sz w:val="28"/>
          <w:szCs w:val="28"/>
        </w:rPr>
      </w:pPr>
      <w:r>
        <w:rPr>
          <w:rFonts w:hint="eastAsia" w:ascii="楷体" w:hAnsi="楷体" w:eastAsia="楷体"/>
          <w:sz w:val="28"/>
          <w:szCs w:val="28"/>
        </w:rPr>
        <w:t>上述调整将于</w:t>
      </w:r>
      <w:r>
        <w:rPr>
          <w:rFonts w:hint="eastAsia" w:ascii="楷体" w:hAnsi="楷体" w:eastAsia="楷体"/>
          <w:sz w:val="28"/>
          <w:szCs w:val="28"/>
          <w:lang w:eastAsia="zh-CN"/>
        </w:rPr>
        <w:t>202</w:t>
      </w:r>
      <w:r>
        <w:rPr>
          <w:rFonts w:hint="eastAsia" w:ascii="楷体" w:hAnsi="楷体" w:eastAsia="楷体"/>
          <w:sz w:val="28"/>
          <w:szCs w:val="28"/>
          <w:lang w:val="en-US" w:eastAsia="zh-CN"/>
        </w:rPr>
        <w:t>5</w:t>
      </w:r>
      <w:r>
        <w:rPr>
          <w:rFonts w:hint="eastAsia" w:ascii="楷体" w:hAnsi="楷体" w:eastAsia="楷体"/>
          <w:sz w:val="28"/>
          <w:szCs w:val="28"/>
          <w:lang w:eastAsia="zh-CN"/>
        </w:rPr>
        <w:t>年</w:t>
      </w:r>
      <w:r>
        <w:rPr>
          <w:rFonts w:hint="eastAsia" w:ascii="楷体" w:hAnsi="楷体" w:eastAsia="楷体"/>
          <w:sz w:val="28"/>
          <w:szCs w:val="28"/>
          <w:lang w:val="en-US" w:eastAsia="zh-CN"/>
        </w:rPr>
        <w:t>11</w:t>
      </w:r>
      <w:r>
        <w:rPr>
          <w:rFonts w:hint="eastAsia" w:ascii="楷体" w:hAnsi="楷体" w:eastAsia="楷体"/>
          <w:sz w:val="28"/>
          <w:szCs w:val="28"/>
          <w:lang w:eastAsia="zh-CN"/>
        </w:rPr>
        <w:t>月</w:t>
      </w:r>
      <w:r>
        <w:rPr>
          <w:rFonts w:hint="eastAsia" w:ascii="楷体" w:hAnsi="楷体" w:eastAsia="楷体"/>
          <w:sz w:val="28"/>
          <w:szCs w:val="28"/>
          <w:lang w:val="en-US" w:eastAsia="zh-CN"/>
        </w:rPr>
        <w:t>11</w:t>
      </w:r>
      <w:r>
        <w:rPr>
          <w:rFonts w:hint="eastAsia" w:ascii="楷体" w:hAnsi="楷体" w:eastAsia="楷体"/>
          <w:sz w:val="28"/>
          <w:szCs w:val="28"/>
          <w:lang w:eastAsia="zh-CN"/>
        </w:rPr>
        <w:t>日</w:t>
      </w:r>
      <w:r>
        <w:rPr>
          <w:rFonts w:hint="eastAsia" w:ascii="楷体" w:hAnsi="楷体" w:eastAsia="楷体"/>
          <w:sz w:val="28"/>
          <w:szCs w:val="28"/>
        </w:rPr>
        <w:t>生效，客户如不接受调整后的产品要素，可在</w:t>
      </w:r>
      <w:r>
        <w:rPr>
          <w:rFonts w:hint="eastAsia" w:ascii="楷体" w:hAnsi="楷体" w:eastAsia="楷体"/>
          <w:sz w:val="28"/>
          <w:szCs w:val="28"/>
          <w:lang w:eastAsia="zh-CN"/>
        </w:rPr>
        <w:t>202</w:t>
      </w:r>
      <w:r>
        <w:rPr>
          <w:rFonts w:hint="eastAsia" w:ascii="楷体" w:hAnsi="楷体" w:eastAsia="楷体"/>
          <w:sz w:val="28"/>
          <w:szCs w:val="28"/>
          <w:lang w:val="en-US" w:eastAsia="zh-CN"/>
        </w:rPr>
        <w:t>5</w:t>
      </w:r>
      <w:r>
        <w:rPr>
          <w:rFonts w:hint="eastAsia" w:ascii="楷体" w:hAnsi="楷体" w:eastAsia="楷体"/>
          <w:sz w:val="28"/>
          <w:szCs w:val="28"/>
          <w:lang w:eastAsia="zh-CN"/>
        </w:rPr>
        <w:t>年</w:t>
      </w:r>
      <w:r>
        <w:rPr>
          <w:rFonts w:hint="eastAsia" w:ascii="楷体" w:hAnsi="楷体" w:eastAsia="楷体"/>
          <w:sz w:val="28"/>
          <w:szCs w:val="28"/>
          <w:lang w:val="en-US" w:eastAsia="zh-CN"/>
        </w:rPr>
        <w:t>10</w:t>
      </w:r>
      <w:r>
        <w:rPr>
          <w:rFonts w:hint="eastAsia" w:ascii="楷体" w:hAnsi="楷体" w:eastAsia="楷体"/>
          <w:sz w:val="28"/>
          <w:szCs w:val="28"/>
          <w:lang w:eastAsia="zh-CN"/>
        </w:rPr>
        <w:t>月</w:t>
      </w:r>
      <w:r>
        <w:rPr>
          <w:rFonts w:hint="eastAsia" w:ascii="楷体" w:hAnsi="楷体" w:eastAsia="楷体"/>
          <w:sz w:val="28"/>
          <w:szCs w:val="28"/>
          <w:lang w:val="en-US" w:eastAsia="zh-CN"/>
        </w:rPr>
        <w:t>31</w:t>
      </w:r>
      <w:r>
        <w:rPr>
          <w:rFonts w:hint="eastAsia" w:ascii="楷体" w:hAnsi="楷体" w:eastAsia="楷体"/>
          <w:sz w:val="28"/>
          <w:szCs w:val="28"/>
          <w:lang w:eastAsia="zh-CN"/>
        </w:rPr>
        <w:t>日至20</w:t>
      </w:r>
      <w:r>
        <w:rPr>
          <w:rFonts w:hint="eastAsia" w:ascii="楷体" w:hAnsi="楷体" w:eastAsia="楷体"/>
          <w:sz w:val="28"/>
          <w:szCs w:val="28"/>
          <w:lang w:val="en-US" w:eastAsia="zh-CN"/>
        </w:rPr>
        <w:t>25</w:t>
      </w:r>
      <w:r>
        <w:rPr>
          <w:rFonts w:hint="eastAsia" w:ascii="楷体" w:hAnsi="楷体" w:eastAsia="楷体"/>
          <w:sz w:val="28"/>
          <w:szCs w:val="28"/>
          <w:lang w:eastAsia="zh-CN"/>
        </w:rPr>
        <w:t>年</w:t>
      </w:r>
      <w:r>
        <w:rPr>
          <w:rFonts w:hint="eastAsia" w:ascii="楷体" w:hAnsi="楷体" w:eastAsia="楷体"/>
          <w:sz w:val="28"/>
          <w:szCs w:val="28"/>
          <w:lang w:val="en-US" w:eastAsia="zh-CN"/>
        </w:rPr>
        <w:t>11</w:t>
      </w:r>
      <w:r>
        <w:rPr>
          <w:rFonts w:hint="eastAsia" w:ascii="楷体" w:hAnsi="楷体" w:eastAsia="楷体"/>
          <w:sz w:val="28"/>
          <w:szCs w:val="28"/>
          <w:lang w:eastAsia="zh-CN"/>
        </w:rPr>
        <w:t>月</w:t>
      </w:r>
      <w:r>
        <w:rPr>
          <w:rFonts w:hint="eastAsia" w:ascii="楷体" w:hAnsi="楷体" w:eastAsia="楷体"/>
          <w:sz w:val="28"/>
          <w:szCs w:val="28"/>
          <w:lang w:val="en-US" w:eastAsia="zh-CN"/>
        </w:rPr>
        <w:t>10</w:t>
      </w:r>
      <w:r>
        <w:rPr>
          <w:rFonts w:hint="eastAsia" w:ascii="楷体" w:hAnsi="楷体" w:eastAsia="楷体"/>
          <w:sz w:val="28"/>
          <w:szCs w:val="28"/>
          <w:lang w:eastAsia="zh-CN"/>
        </w:rPr>
        <w:t>日</w:t>
      </w:r>
      <w:r>
        <w:rPr>
          <w:rFonts w:hint="eastAsia" w:ascii="楷体" w:hAnsi="楷体" w:eastAsia="楷体"/>
          <w:sz w:val="28"/>
          <w:szCs w:val="28"/>
        </w:rPr>
        <w:t>产品开放期内提出赎回申请。客户逾期未提出赎回申请，视为接受上述调整事项。</w:t>
      </w:r>
    </w:p>
    <w:p>
      <w:pPr>
        <w:pStyle w:val="2"/>
        <w:spacing w:before="0" w:line="480" w:lineRule="auto"/>
        <w:ind w:left="0" w:firstLine="560" w:firstLineChars="200"/>
        <w:jc w:val="both"/>
        <w:rPr>
          <w:rFonts w:hint="eastAsia" w:ascii="楷体" w:hAnsi="楷体" w:eastAsia="楷体"/>
          <w:sz w:val="28"/>
          <w:szCs w:val="28"/>
        </w:rPr>
      </w:pPr>
      <w:r>
        <w:rPr>
          <w:rFonts w:hint="eastAsia" w:ascii="楷体" w:hAnsi="楷体" w:eastAsia="楷体"/>
          <w:sz w:val="28"/>
          <w:szCs w:val="28"/>
        </w:rPr>
        <w:t>感谢您一直以来对苏银理财的支持！</w:t>
      </w:r>
    </w:p>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firstLine="560" w:firstLineChars="200"/>
        <w:jc w:val="both"/>
        <w:textAlignment w:val="auto"/>
        <w:outlineLvl w:val="9"/>
        <w:rPr>
          <w:rFonts w:hint="eastAsia" w:ascii="楷体" w:hAnsi="楷体" w:eastAsia="楷体"/>
          <w:kern w:val="0"/>
          <w:sz w:val="28"/>
          <w:szCs w:val="28"/>
        </w:rPr>
      </w:pPr>
      <w:r>
        <w:rPr>
          <w:rFonts w:hint="eastAsia" w:ascii="楷体" w:hAnsi="楷体" w:eastAsia="楷体"/>
          <w:sz w:val="28"/>
          <w:szCs w:val="28"/>
        </w:rPr>
        <w:t>特此公告。 </w:t>
      </w:r>
    </w:p>
    <w:p>
      <w:pPr>
        <w:keepNext w:val="0"/>
        <w:keepLines w:val="0"/>
        <w:pageBreakBefore w:val="0"/>
        <w:widowControl w:val="0"/>
        <w:kinsoku/>
        <w:wordWrap/>
        <w:overflowPunct/>
        <w:topLinePunct w:val="0"/>
        <w:autoSpaceDE/>
        <w:autoSpaceDN/>
        <w:bidi w:val="0"/>
        <w:adjustRightInd/>
        <w:snapToGrid/>
        <w:spacing w:line="0" w:lineRule="atLeast"/>
        <w:jc w:val="right"/>
        <w:textAlignment w:val="auto"/>
        <w:outlineLvl w:val="9"/>
        <w:rPr>
          <w:rFonts w:hint="eastAsia" w:ascii="楷体" w:hAnsi="楷体" w:eastAsia="楷体"/>
          <w:kern w:val="0"/>
          <w:sz w:val="28"/>
          <w:szCs w:val="28"/>
        </w:rPr>
      </w:pPr>
    </w:p>
    <w:p>
      <w:pPr>
        <w:keepNext w:val="0"/>
        <w:keepLines w:val="0"/>
        <w:pageBreakBefore w:val="0"/>
        <w:widowControl w:val="0"/>
        <w:kinsoku/>
        <w:wordWrap/>
        <w:overflowPunct/>
        <w:topLinePunct w:val="0"/>
        <w:autoSpaceDE/>
        <w:autoSpaceDN/>
        <w:bidi w:val="0"/>
        <w:adjustRightInd/>
        <w:snapToGrid/>
        <w:spacing w:line="0" w:lineRule="atLeast"/>
        <w:jc w:val="right"/>
        <w:textAlignment w:val="auto"/>
        <w:outlineLvl w:val="9"/>
        <w:rPr>
          <w:rFonts w:hint="eastAsia" w:ascii="楷体" w:hAnsi="楷体" w:eastAsia="楷体"/>
          <w:kern w:val="0"/>
          <w:sz w:val="28"/>
          <w:szCs w:val="28"/>
        </w:rPr>
      </w:pPr>
      <w:r>
        <w:rPr>
          <w:rFonts w:hint="eastAsia" w:ascii="楷体" w:hAnsi="楷体" w:eastAsia="楷体"/>
          <w:kern w:val="0"/>
          <w:sz w:val="28"/>
          <w:szCs w:val="28"/>
        </w:rPr>
        <w:t>苏银理财有限责任公司</w:t>
      </w:r>
    </w:p>
    <w:p>
      <w:pPr>
        <w:spacing w:line="520" w:lineRule="exact"/>
        <w:jc w:val="right"/>
        <w:rPr>
          <w:rFonts w:hint="eastAsia" w:ascii="楷体" w:hAnsi="楷体" w:eastAsia="楷体" w:cs="楷体"/>
        </w:rPr>
      </w:pPr>
      <w:r>
        <w:rPr>
          <w:rFonts w:hint="eastAsia" w:ascii="楷体" w:hAnsi="楷体" w:eastAsia="楷体"/>
          <w:kern w:val="0"/>
          <w:sz w:val="28"/>
          <w:szCs w:val="28"/>
          <w:lang w:eastAsia="zh-CN"/>
        </w:rPr>
        <w:t>202</w:t>
      </w:r>
      <w:r>
        <w:rPr>
          <w:rFonts w:hint="eastAsia" w:ascii="楷体" w:hAnsi="楷体" w:eastAsia="楷体"/>
          <w:kern w:val="0"/>
          <w:sz w:val="28"/>
          <w:szCs w:val="28"/>
          <w:lang w:val="en-US" w:eastAsia="zh-CN"/>
        </w:rPr>
        <w:t>5</w:t>
      </w:r>
      <w:r>
        <w:rPr>
          <w:rFonts w:hint="eastAsia" w:ascii="楷体" w:hAnsi="楷体" w:eastAsia="楷体"/>
          <w:kern w:val="0"/>
          <w:sz w:val="28"/>
          <w:szCs w:val="28"/>
          <w:lang w:eastAsia="zh-CN"/>
        </w:rPr>
        <w:t>年</w:t>
      </w:r>
      <w:r>
        <w:rPr>
          <w:rFonts w:hint="eastAsia" w:ascii="楷体" w:hAnsi="楷体" w:eastAsia="楷体"/>
          <w:kern w:val="0"/>
          <w:sz w:val="28"/>
          <w:szCs w:val="28"/>
          <w:lang w:val="en-US" w:eastAsia="zh-CN"/>
        </w:rPr>
        <w:t>10</w:t>
      </w:r>
      <w:r>
        <w:rPr>
          <w:rFonts w:hint="eastAsia" w:ascii="楷体" w:hAnsi="楷体" w:eastAsia="楷体"/>
          <w:kern w:val="0"/>
          <w:sz w:val="28"/>
          <w:szCs w:val="28"/>
          <w:lang w:eastAsia="zh-CN"/>
        </w:rPr>
        <w:t>月</w:t>
      </w:r>
      <w:r>
        <w:rPr>
          <w:rFonts w:hint="eastAsia" w:ascii="楷体" w:hAnsi="楷体" w:eastAsia="楷体"/>
          <w:kern w:val="0"/>
          <w:sz w:val="28"/>
          <w:szCs w:val="28"/>
          <w:lang w:val="en-US" w:eastAsia="zh-CN"/>
        </w:rPr>
        <w:t>21</w:t>
      </w:r>
      <w:bookmarkStart w:id="0" w:name="_GoBack"/>
      <w:bookmarkEnd w:id="0"/>
      <w:r>
        <w:rPr>
          <w:rFonts w:hint="eastAsia" w:ascii="楷体" w:hAnsi="楷体" w:eastAsia="楷体"/>
          <w:kern w:val="0"/>
          <w:sz w:val="28"/>
          <w:szCs w:val="28"/>
          <w:lang w:eastAsia="zh-CN"/>
        </w:rPr>
        <w:t>日</w:t>
      </w:r>
    </w:p>
    <w:p>
      <w:pPr>
        <w:keepNext w:val="0"/>
        <w:keepLines w:val="0"/>
        <w:pageBreakBefore w:val="0"/>
        <w:widowControl w:val="0"/>
        <w:kinsoku/>
        <w:wordWrap/>
        <w:overflowPunct/>
        <w:topLinePunct w:val="0"/>
        <w:autoSpaceDE/>
        <w:autoSpaceDN/>
        <w:bidi w:val="0"/>
        <w:adjustRightInd/>
        <w:snapToGrid/>
        <w:spacing w:before="157" w:beforeLines="50" w:line="520" w:lineRule="exact"/>
        <w:textAlignment w:val="auto"/>
        <w:outlineLvl w:val="9"/>
        <w:rPr>
          <w:rFonts w:hint="eastAsia" w:ascii="楷体" w:hAnsi="楷体" w:eastAsia="楷体" w:cs="楷体"/>
          <w:lang w:val="en-US" w:eastAsia="zh-CN"/>
        </w:rPr>
      </w:pPr>
      <w:r>
        <w:rPr>
          <w:rFonts w:hint="eastAsia" w:ascii="楷体" w:hAnsi="楷体" w:eastAsia="楷体" w:cs="楷体"/>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kinsoku w:val="0"/>
      <w:overflowPunct w:val="0"/>
      <w:spacing w:before="0" w:line="320" w:lineRule="exact"/>
      <w:ind w:left="20"/>
      <w:jc w:val="both"/>
      <w:rPr>
        <w:rFonts w:ascii="楷体" w:hAnsi="楷体" w:eastAsia="楷体" w:cs="黑体"/>
        <w:b/>
        <w:spacing w:val="-2"/>
        <w:sz w:val="24"/>
        <w:szCs w:val="24"/>
      </w:rPr>
    </w:pPr>
    <w:r>
      <w:rPr>
        <w:rFonts w:ascii="楷体" w:hAnsi="楷体" w:eastAsia="楷体"/>
        <w:b/>
      </w:rPr>
      <w:drawing>
        <wp:anchor distT="0" distB="0" distL="114300" distR="114300" simplePos="0" relativeHeight="251661312" behindDoc="1" locked="0" layoutInCell="0" allowOverlap="1">
          <wp:simplePos x="0" y="0"/>
          <wp:positionH relativeFrom="margin">
            <wp:align>center</wp:align>
          </wp:positionH>
          <wp:positionV relativeFrom="margin">
            <wp:align>center</wp:align>
          </wp:positionV>
          <wp:extent cx="14444345" cy="10958195"/>
          <wp:effectExtent l="0" t="0" r="5080" b="5080"/>
          <wp:wrapNone/>
          <wp:docPr id="3" name="WordPictureWatermark367128483"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367128483"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r>
      <w:drawing>
        <wp:anchor distT="0" distB="0" distL="114300" distR="114300" simplePos="0" relativeHeight="251662336" behindDoc="0" locked="0" layoutInCell="1" allowOverlap="1">
          <wp:simplePos x="0" y="0"/>
          <wp:positionH relativeFrom="column">
            <wp:posOffset>3923665</wp:posOffset>
          </wp:positionH>
          <wp:positionV relativeFrom="paragraph">
            <wp:posOffset>-95250</wp:posOffset>
          </wp:positionV>
          <wp:extent cx="1325245" cy="424815"/>
          <wp:effectExtent l="0" t="0" r="8255" b="3810"/>
          <wp:wrapSquare wrapText="bothSides"/>
          <wp:docPr id="4" name="图片 1" descr="说明: 说明: C:\Users\JSYH\Desktop\苏银理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说明: 说明: C:\Users\JSYH\Desktop\苏银理财.png"/>
                  <pic:cNvPicPr>
                    <a:picLocks noChangeAspect="1"/>
                  </pic:cNvPicPr>
                </pic:nvPicPr>
                <pic:blipFill>
                  <a:blip r:embed="rId2"/>
                  <a:stretch>
                    <a:fillRect/>
                  </a:stretch>
                </pic:blipFill>
                <pic:spPr>
                  <a:xfrm>
                    <a:off x="0" y="0"/>
                    <a:ext cx="1325245" cy="424815"/>
                  </a:xfrm>
                  <a:prstGeom prst="rect">
                    <a:avLst/>
                  </a:prstGeom>
                  <a:noFill/>
                  <a:ln>
                    <a:noFill/>
                  </a:ln>
                </pic:spPr>
              </pic:pic>
            </a:graphicData>
          </a:graphic>
        </wp:anchor>
      </w:drawing>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60288" behindDoc="1" locked="0" layoutInCell="0" allowOverlap="1">
          <wp:simplePos x="0" y="0"/>
          <wp:positionH relativeFrom="margin">
            <wp:align>center</wp:align>
          </wp:positionH>
          <wp:positionV relativeFrom="margin">
            <wp:align>center</wp:align>
          </wp:positionV>
          <wp:extent cx="14444345" cy="10958195"/>
          <wp:effectExtent l="0" t="0" r="5080" b="5080"/>
          <wp:wrapNone/>
          <wp:docPr id="2" name="WordPictureWatermark367128482"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PictureWatermark367128482"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59264" behindDoc="1" locked="0" layoutInCell="0" allowOverlap="1">
          <wp:simplePos x="0" y="0"/>
          <wp:positionH relativeFrom="margin">
            <wp:align>center</wp:align>
          </wp:positionH>
          <wp:positionV relativeFrom="margin">
            <wp:align>center</wp:align>
          </wp:positionV>
          <wp:extent cx="14444345" cy="10958195"/>
          <wp:effectExtent l="0" t="0" r="5080" b="5080"/>
          <wp:wrapNone/>
          <wp:docPr id="1" name="WordPictureWatermark367128481"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67128481"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1531"/>
    <w:rsid w:val="0000191C"/>
    <w:rsid w:val="00001E2F"/>
    <w:rsid w:val="00002389"/>
    <w:rsid w:val="00003606"/>
    <w:rsid w:val="000048B0"/>
    <w:rsid w:val="00005B01"/>
    <w:rsid w:val="000101E4"/>
    <w:rsid w:val="0001103A"/>
    <w:rsid w:val="000131EF"/>
    <w:rsid w:val="00013628"/>
    <w:rsid w:val="00014334"/>
    <w:rsid w:val="000158A7"/>
    <w:rsid w:val="00015A92"/>
    <w:rsid w:val="00015D58"/>
    <w:rsid w:val="00016232"/>
    <w:rsid w:val="0002052D"/>
    <w:rsid w:val="00020A6F"/>
    <w:rsid w:val="00021007"/>
    <w:rsid w:val="000223C5"/>
    <w:rsid w:val="00023BA8"/>
    <w:rsid w:val="000247F9"/>
    <w:rsid w:val="00024C7F"/>
    <w:rsid w:val="000263ED"/>
    <w:rsid w:val="00027E61"/>
    <w:rsid w:val="00027F48"/>
    <w:rsid w:val="0003072E"/>
    <w:rsid w:val="00030D69"/>
    <w:rsid w:val="00031806"/>
    <w:rsid w:val="00031F80"/>
    <w:rsid w:val="00034890"/>
    <w:rsid w:val="000375C2"/>
    <w:rsid w:val="000405B1"/>
    <w:rsid w:val="000434FB"/>
    <w:rsid w:val="00043555"/>
    <w:rsid w:val="00043D5F"/>
    <w:rsid w:val="000469D0"/>
    <w:rsid w:val="00046AAA"/>
    <w:rsid w:val="0004768E"/>
    <w:rsid w:val="00050975"/>
    <w:rsid w:val="00051DB3"/>
    <w:rsid w:val="00054854"/>
    <w:rsid w:val="00057B16"/>
    <w:rsid w:val="00060571"/>
    <w:rsid w:val="00061D74"/>
    <w:rsid w:val="00062791"/>
    <w:rsid w:val="00064F2B"/>
    <w:rsid w:val="00066F56"/>
    <w:rsid w:val="000677EE"/>
    <w:rsid w:val="00071418"/>
    <w:rsid w:val="00071581"/>
    <w:rsid w:val="000715B1"/>
    <w:rsid w:val="0007293A"/>
    <w:rsid w:val="00072D1F"/>
    <w:rsid w:val="0007366C"/>
    <w:rsid w:val="00074189"/>
    <w:rsid w:val="00074306"/>
    <w:rsid w:val="000757BB"/>
    <w:rsid w:val="00080C2C"/>
    <w:rsid w:val="00081AD6"/>
    <w:rsid w:val="000853F6"/>
    <w:rsid w:val="000867A8"/>
    <w:rsid w:val="00087036"/>
    <w:rsid w:val="00087EDB"/>
    <w:rsid w:val="00091208"/>
    <w:rsid w:val="00093C11"/>
    <w:rsid w:val="00094631"/>
    <w:rsid w:val="00096382"/>
    <w:rsid w:val="0009795C"/>
    <w:rsid w:val="00097F80"/>
    <w:rsid w:val="000A2D2D"/>
    <w:rsid w:val="000A2E68"/>
    <w:rsid w:val="000A45AB"/>
    <w:rsid w:val="000A5E00"/>
    <w:rsid w:val="000B0078"/>
    <w:rsid w:val="000B0690"/>
    <w:rsid w:val="000B382A"/>
    <w:rsid w:val="000B3B58"/>
    <w:rsid w:val="000B3EFD"/>
    <w:rsid w:val="000B659B"/>
    <w:rsid w:val="000B6E9F"/>
    <w:rsid w:val="000B7D78"/>
    <w:rsid w:val="000C3DB1"/>
    <w:rsid w:val="000C54ED"/>
    <w:rsid w:val="000C5C02"/>
    <w:rsid w:val="000C6143"/>
    <w:rsid w:val="000C7382"/>
    <w:rsid w:val="000D35BD"/>
    <w:rsid w:val="000D3992"/>
    <w:rsid w:val="000D70FD"/>
    <w:rsid w:val="000D71CF"/>
    <w:rsid w:val="000D7225"/>
    <w:rsid w:val="000D722C"/>
    <w:rsid w:val="000E0485"/>
    <w:rsid w:val="000E1951"/>
    <w:rsid w:val="000E2E7D"/>
    <w:rsid w:val="000E34F3"/>
    <w:rsid w:val="000E4205"/>
    <w:rsid w:val="000E7CF6"/>
    <w:rsid w:val="000F0433"/>
    <w:rsid w:val="000F1D3C"/>
    <w:rsid w:val="000F362A"/>
    <w:rsid w:val="000F3D5D"/>
    <w:rsid w:val="000F4243"/>
    <w:rsid w:val="000F4ABF"/>
    <w:rsid w:val="000F5B66"/>
    <w:rsid w:val="000F5FF6"/>
    <w:rsid w:val="000F65C5"/>
    <w:rsid w:val="000F7056"/>
    <w:rsid w:val="000F7D2C"/>
    <w:rsid w:val="00100F0C"/>
    <w:rsid w:val="001025A3"/>
    <w:rsid w:val="001036A0"/>
    <w:rsid w:val="0010457E"/>
    <w:rsid w:val="001065F5"/>
    <w:rsid w:val="00110417"/>
    <w:rsid w:val="00111E3E"/>
    <w:rsid w:val="001126F6"/>
    <w:rsid w:val="00112F03"/>
    <w:rsid w:val="00115E7F"/>
    <w:rsid w:val="0011696D"/>
    <w:rsid w:val="00121681"/>
    <w:rsid w:val="00122F58"/>
    <w:rsid w:val="0012352A"/>
    <w:rsid w:val="00123BCB"/>
    <w:rsid w:val="0012411A"/>
    <w:rsid w:val="001242DE"/>
    <w:rsid w:val="00124C00"/>
    <w:rsid w:val="001259EA"/>
    <w:rsid w:val="00125B8C"/>
    <w:rsid w:val="0012647A"/>
    <w:rsid w:val="001303B2"/>
    <w:rsid w:val="00130EED"/>
    <w:rsid w:val="00130F7B"/>
    <w:rsid w:val="00131F1B"/>
    <w:rsid w:val="0013364F"/>
    <w:rsid w:val="00133AAF"/>
    <w:rsid w:val="00133B98"/>
    <w:rsid w:val="0013472F"/>
    <w:rsid w:val="00134733"/>
    <w:rsid w:val="001359ED"/>
    <w:rsid w:val="00140B25"/>
    <w:rsid w:val="001450DF"/>
    <w:rsid w:val="0014734D"/>
    <w:rsid w:val="00151CC7"/>
    <w:rsid w:val="00152B36"/>
    <w:rsid w:val="00153081"/>
    <w:rsid w:val="001530B2"/>
    <w:rsid w:val="001543E7"/>
    <w:rsid w:val="00155B77"/>
    <w:rsid w:val="00160569"/>
    <w:rsid w:val="00161BF0"/>
    <w:rsid w:val="00161E2F"/>
    <w:rsid w:val="001624A3"/>
    <w:rsid w:val="001624DA"/>
    <w:rsid w:val="00162BF5"/>
    <w:rsid w:val="00165E23"/>
    <w:rsid w:val="0016609C"/>
    <w:rsid w:val="00166B3A"/>
    <w:rsid w:val="00170099"/>
    <w:rsid w:val="00170194"/>
    <w:rsid w:val="00170927"/>
    <w:rsid w:val="0017092A"/>
    <w:rsid w:val="00170A6E"/>
    <w:rsid w:val="00172B90"/>
    <w:rsid w:val="00173A2B"/>
    <w:rsid w:val="00173CE1"/>
    <w:rsid w:val="00174417"/>
    <w:rsid w:val="001749CF"/>
    <w:rsid w:val="00176B8E"/>
    <w:rsid w:val="001770F3"/>
    <w:rsid w:val="00177BCC"/>
    <w:rsid w:val="0018251A"/>
    <w:rsid w:val="001846FB"/>
    <w:rsid w:val="00193A02"/>
    <w:rsid w:val="00194E69"/>
    <w:rsid w:val="00195FF0"/>
    <w:rsid w:val="00197DD9"/>
    <w:rsid w:val="001A05F5"/>
    <w:rsid w:val="001A1C12"/>
    <w:rsid w:val="001A2EBB"/>
    <w:rsid w:val="001A57DB"/>
    <w:rsid w:val="001A586B"/>
    <w:rsid w:val="001A73F1"/>
    <w:rsid w:val="001B1D26"/>
    <w:rsid w:val="001B1E1E"/>
    <w:rsid w:val="001B2F76"/>
    <w:rsid w:val="001B2F82"/>
    <w:rsid w:val="001B396B"/>
    <w:rsid w:val="001B4B9C"/>
    <w:rsid w:val="001B72EB"/>
    <w:rsid w:val="001B7D0D"/>
    <w:rsid w:val="001C13E9"/>
    <w:rsid w:val="001C4148"/>
    <w:rsid w:val="001C78FF"/>
    <w:rsid w:val="001D0B29"/>
    <w:rsid w:val="001D1C27"/>
    <w:rsid w:val="001D2A8B"/>
    <w:rsid w:val="001D48EE"/>
    <w:rsid w:val="001D49AC"/>
    <w:rsid w:val="001D4BC9"/>
    <w:rsid w:val="001D4FE1"/>
    <w:rsid w:val="001D5D06"/>
    <w:rsid w:val="001D78FF"/>
    <w:rsid w:val="001E0062"/>
    <w:rsid w:val="001E0387"/>
    <w:rsid w:val="001E223F"/>
    <w:rsid w:val="001E4374"/>
    <w:rsid w:val="001E4A82"/>
    <w:rsid w:val="001E4C0D"/>
    <w:rsid w:val="001E4E95"/>
    <w:rsid w:val="001E631F"/>
    <w:rsid w:val="001F0A69"/>
    <w:rsid w:val="001F1728"/>
    <w:rsid w:val="001F2658"/>
    <w:rsid w:val="001F3AD6"/>
    <w:rsid w:val="001F3CCB"/>
    <w:rsid w:val="001F63BD"/>
    <w:rsid w:val="001F6775"/>
    <w:rsid w:val="001F69BF"/>
    <w:rsid w:val="00200449"/>
    <w:rsid w:val="00200DF8"/>
    <w:rsid w:val="0020123C"/>
    <w:rsid w:val="0020196F"/>
    <w:rsid w:val="002024E9"/>
    <w:rsid w:val="0020639A"/>
    <w:rsid w:val="00210857"/>
    <w:rsid w:val="002119A2"/>
    <w:rsid w:val="00213632"/>
    <w:rsid w:val="00215F66"/>
    <w:rsid w:val="00216C87"/>
    <w:rsid w:val="0022162D"/>
    <w:rsid w:val="002222A4"/>
    <w:rsid w:val="0022633B"/>
    <w:rsid w:val="00226F9D"/>
    <w:rsid w:val="00230F4A"/>
    <w:rsid w:val="00231B08"/>
    <w:rsid w:val="00232A54"/>
    <w:rsid w:val="0023376E"/>
    <w:rsid w:val="0023523A"/>
    <w:rsid w:val="002353C4"/>
    <w:rsid w:val="00235E45"/>
    <w:rsid w:val="002366EB"/>
    <w:rsid w:val="002379DD"/>
    <w:rsid w:val="00237FDB"/>
    <w:rsid w:val="0024053C"/>
    <w:rsid w:val="002436C1"/>
    <w:rsid w:val="00243A17"/>
    <w:rsid w:val="00243DF5"/>
    <w:rsid w:val="00245106"/>
    <w:rsid w:val="00245D03"/>
    <w:rsid w:val="0024748B"/>
    <w:rsid w:val="00247A7D"/>
    <w:rsid w:val="0025150E"/>
    <w:rsid w:val="00252B51"/>
    <w:rsid w:val="00253997"/>
    <w:rsid w:val="0025423C"/>
    <w:rsid w:val="00254A3C"/>
    <w:rsid w:val="00254A8B"/>
    <w:rsid w:val="00256E57"/>
    <w:rsid w:val="0025744E"/>
    <w:rsid w:val="002579CC"/>
    <w:rsid w:val="0026641B"/>
    <w:rsid w:val="002672C8"/>
    <w:rsid w:val="00270665"/>
    <w:rsid w:val="00272C53"/>
    <w:rsid w:val="00272E20"/>
    <w:rsid w:val="00273681"/>
    <w:rsid w:val="0027409E"/>
    <w:rsid w:val="00274FAF"/>
    <w:rsid w:val="0027510A"/>
    <w:rsid w:val="002765F4"/>
    <w:rsid w:val="00276831"/>
    <w:rsid w:val="00276883"/>
    <w:rsid w:val="00277C1F"/>
    <w:rsid w:val="002821D7"/>
    <w:rsid w:val="00282F20"/>
    <w:rsid w:val="00284410"/>
    <w:rsid w:val="0029004F"/>
    <w:rsid w:val="00291B84"/>
    <w:rsid w:val="00292B19"/>
    <w:rsid w:val="00292B5E"/>
    <w:rsid w:val="002932FC"/>
    <w:rsid w:val="00293CDD"/>
    <w:rsid w:val="00294431"/>
    <w:rsid w:val="00294B49"/>
    <w:rsid w:val="00295538"/>
    <w:rsid w:val="00297034"/>
    <w:rsid w:val="002A046A"/>
    <w:rsid w:val="002A0E6D"/>
    <w:rsid w:val="002A237A"/>
    <w:rsid w:val="002A23E0"/>
    <w:rsid w:val="002A2E20"/>
    <w:rsid w:val="002A32DF"/>
    <w:rsid w:val="002A6980"/>
    <w:rsid w:val="002A7DF5"/>
    <w:rsid w:val="002A7E94"/>
    <w:rsid w:val="002B0795"/>
    <w:rsid w:val="002B2620"/>
    <w:rsid w:val="002B3225"/>
    <w:rsid w:val="002B5694"/>
    <w:rsid w:val="002C021F"/>
    <w:rsid w:val="002C2056"/>
    <w:rsid w:val="002C222A"/>
    <w:rsid w:val="002C23F7"/>
    <w:rsid w:val="002C3367"/>
    <w:rsid w:val="002C7117"/>
    <w:rsid w:val="002C7CB4"/>
    <w:rsid w:val="002D0706"/>
    <w:rsid w:val="002D29FD"/>
    <w:rsid w:val="002D2AEC"/>
    <w:rsid w:val="002D2C1F"/>
    <w:rsid w:val="002D600D"/>
    <w:rsid w:val="002E1382"/>
    <w:rsid w:val="002E6CC3"/>
    <w:rsid w:val="002E6F55"/>
    <w:rsid w:val="002F0E4E"/>
    <w:rsid w:val="002F24A1"/>
    <w:rsid w:val="002F344B"/>
    <w:rsid w:val="002F41A5"/>
    <w:rsid w:val="002F709A"/>
    <w:rsid w:val="002F77A8"/>
    <w:rsid w:val="003010FA"/>
    <w:rsid w:val="00301619"/>
    <w:rsid w:val="00301AD3"/>
    <w:rsid w:val="00301E80"/>
    <w:rsid w:val="00302755"/>
    <w:rsid w:val="00303147"/>
    <w:rsid w:val="00304D18"/>
    <w:rsid w:val="00305A15"/>
    <w:rsid w:val="00305FD1"/>
    <w:rsid w:val="00306353"/>
    <w:rsid w:val="00306D41"/>
    <w:rsid w:val="00307094"/>
    <w:rsid w:val="00307342"/>
    <w:rsid w:val="00310A72"/>
    <w:rsid w:val="00311C18"/>
    <w:rsid w:val="0031298C"/>
    <w:rsid w:val="00313D52"/>
    <w:rsid w:val="00314235"/>
    <w:rsid w:val="0031453A"/>
    <w:rsid w:val="003222FC"/>
    <w:rsid w:val="00325D85"/>
    <w:rsid w:val="0032607C"/>
    <w:rsid w:val="00326E7B"/>
    <w:rsid w:val="0033166C"/>
    <w:rsid w:val="0033358A"/>
    <w:rsid w:val="00333937"/>
    <w:rsid w:val="003342B8"/>
    <w:rsid w:val="0033504B"/>
    <w:rsid w:val="003362C7"/>
    <w:rsid w:val="00336A5A"/>
    <w:rsid w:val="00337AA0"/>
    <w:rsid w:val="0034029E"/>
    <w:rsid w:val="00342ADB"/>
    <w:rsid w:val="00343B0F"/>
    <w:rsid w:val="00347006"/>
    <w:rsid w:val="00347D0D"/>
    <w:rsid w:val="003503AE"/>
    <w:rsid w:val="00351D8C"/>
    <w:rsid w:val="0035213A"/>
    <w:rsid w:val="00353419"/>
    <w:rsid w:val="00355D35"/>
    <w:rsid w:val="00356BEA"/>
    <w:rsid w:val="00360094"/>
    <w:rsid w:val="003627FB"/>
    <w:rsid w:val="00362826"/>
    <w:rsid w:val="00363EEF"/>
    <w:rsid w:val="0036403D"/>
    <w:rsid w:val="0036455C"/>
    <w:rsid w:val="003656BF"/>
    <w:rsid w:val="00366074"/>
    <w:rsid w:val="00367122"/>
    <w:rsid w:val="0037083D"/>
    <w:rsid w:val="00372402"/>
    <w:rsid w:val="003724FE"/>
    <w:rsid w:val="003726C4"/>
    <w:rsid w:val="003732C5"/>
    <w:rsid w:val="0037344E"/>
    <w:rsid w:val="00374086"/>
    <w:rsid w:val="00375BEB"/>
    <w:rsid w:val="003800B4"/>
    <w:rsid w:val="00380687"/>
    <w:rsid w:val="003809E0"/>
    <w:rsid w:val="003814E2"/>
    <w:rsid w:val="00381E88"/>
    <w:rsid w:val="003821F9"/>
    <w:rsid w:val="003827CD"/>
    <w:rsid w:val="00383A99"/>
    <w:rsid w:val="00383D6D"/>
    <w:rsid w:val="003852EF"/>
    <w:rsid w:val="003870EE"/>
    <w:rsid w:val="00393452"/>
    <w:rsid w:val="00394C2C"/>
    <w:rsid w:val="00395441"/>
    <w:rsid w:val="00396F85"/>
    <w:rsid w:val="0039723A"/>
    <w:rsid w:val="003A1CB9"/>
    <w:rsid w:val="003A27B8"/>
    <w:rsid w:val="003A3D8C"/>
    <w:rsid w:val="003A539D"/>
    <w:rsid w:val="003A5FA1"/>
    <w:rsid w:val="003A7623"/>
    <w:rsid w:val="003B1725"/>
    <w:rsid w:val="003B242C"/>
    <w:rsid w:val="003B324C"/>
    <w:rsid w:val="003B4D64"/>
    <w:rsid w:val="003B5DFB"/>
    <w:rsid w:val="003B6220"/>
    <w:rsid w:val="003B76DC"/>
    <w:rsid w:val="003C1E93"/>
    <w:rsid w:val="003C2161"/>
    <w:rsid w:val="003C596C"/>
    <w:rsid w:val="003D03AF"/>
    <w:rsid w:val="003D07CA"/>
    <w:rsid w:val="003D1FE5"/>
    <w:rsid w:val="003D3735"/>
    <w:rsid w:val="003D5148"/>
    <w:rsid w:val="003D6081"/>
    <w:rsid w:val="003D6720"/>
    <w:rsid w:val="003D6B3F"/>
    <w:rsid w:val="003D7951"/>
    <w:rsid w:val="003E030F"/>
    <w:rsid w:val="003E0964"/>
    <w:rsid w:val="003E1EFB"/>
    <w:rsid w:val="003E2B26"/>
    <w:rsid w:val="003E4299"/>
    <w:rsid w:val="003E6D92"/>
    <w:rsid w:val="003E70B9"/>
    <w:rsid w:val="003E7812"/>
    <w:rsid w:val="003F2136"/>
    <w:rsid w:val="003F277A"/>
    <w:rsid w:val="003F31E6"/>
    <w:rsid w:val="003F40F9"/>
    <w:rsid w:val="003F4C40"/>
    <w:rsid w:val="003F52FE"/>
    <w:rsid w:val="003F580D"/>
    <w:rsid w:val="003F61D7"/>
    <w:rsid w:val="00401F3A"/>
    <w:rsid w:val="0040272E"/>
    <w:rsid w:val="00402EA0"/>
    <w:rsid w:val="00403497"/>
    <w:rsid w:val="004041C9"/>
    <w:rsid w:val="00407810"/>
    <w:rsid w:val="004079CC"/>
    <w:rsid w:val="004106A7"/>
    <w:rsid w:val="00410F85"/>
    <w:rsid w:val="00412823"/>
    <w:rsid w:val="0041382E"/>
    <w:rsid w:val="00413D00"/>
    <w:rsid w:val="00414410"/>
    <w:rsid w:val="00414992"/>
    <w:rsid w:val="00416ED0"/>
    <w:rsid w:val="004175B0"/>
    <w:rsid w:val="00421C9B"/>
    <w:rsid w:val="00426041"/>
    <w:rsid w:val="00426AD3"/>
    <w:rsid w:val="00426CBC"/>
    <w:rsid w:val="00427CC0"/>
    <w:rsid w:val="0043002F"/>
    <w:rsid w:val="004303B3"/>
    <w:rsid w:val="00430927"/>
    <w:rsid w:val="0043308A"/>
    <w:rsid w:val="00433113"/>
    <w:rsid w:val="00434262"/>
    <w:rsid w:val="0043673C"/>
    <w:rsid w:val="00436801"/>
    <w:rsid w:val="004370D4"/>
    <w:rsid w:val="00437DA0"/>
    <w:rsid w:val="004412CE"/>
    <w:rsid w:val="00442603"/>
    <w:rsid w:val="00444898"/>
    <w:rsid w:val="00445E88"/>
    <w:rsid w:val="004509F6"/>
    <w:rsid w:val="00453254"/>
    <w:rsid w:val="0045366F"/>
    <w:rsid w:val="00453947"/>
    <w:rsid w:val="00453F4D"/>
    <w:rsid w:val="00455D49"/>
    <w:rsid w:val="00455DF1"/>
    <w:rsid w:val="00456A0F"/>
    <w:rsid w:val="00456C53"/>
    <w:rsid w:val="00460F22"/>
    <w:rsid w:val="0046446A"/>
    <w:rsid w:val="004645D0"/>
    <w:rsid w:val="00464A97"/>
    <w:rsid w:val="00464FA6"/>
    <w:rsid w:val="004651E5"/>
    <w:rsid w:val="004676E4"/>
    <w:rsid w:val="0046796E"/>
    <w:rsid w:val="00467E09"/>
    <w:rsid w:val="004707EC"/>
    <w:rsid w:val="00470F11"/>
    <w:rsid w:val="0047173F"/>
    <w:rsid w:val="004722FE"/>
    <w:rsid w:val="00472A2C"/>
    <w:rsid w:val="004739B2"/>
    <w:rsid w:val="0047586E"/>
    <w:rsid w:val="004761F8"/>
    <w:rsid w:val="0047624F"/>
    <w:rsid w:val="00476551"/>
    <w:rsid w:val="00476764"/>
    <w:rsid w:val="00477506"/>
    <w:rsid w:val="00477994"/>
    <w:rsid w:val="00480ED0"/>
    <w:rsid w:val="00481CB0"/>
    <w:rsid w:val="00482251"/>
    <w:rsid w:val="00482CC2"/>
    <w:rsid w:val="004835E4"/>
    <w:rsid w:val="00484CF0"/>
    <w:rsid w:val="004856F7"/>
    <w:rsid w:val="00485E98"/>
    <w:rsid w:val="00487169"/>
    <w:rsid w:val="00490539"/>
    <w:rsid w:val="004907EE"/>
    <w:rsid w:val="004910C2"/>
    <w:rsid w:val="00491342"/>
    <w:rsid w:val="0049147A"/>
    <w:rsid w:val="00491B25"/>
    <w:rsid w:val="004925DF"/>
    <w:rsid w:val="0049267E"/>
    <w:rsid w:val="004929D1"/>
    <w:rsid w:val="004939CA"/>
    <w:rsid w:val="00497D5C"/>
    <w:rsid w:val="004A243A"/>
    <w:rsid w:val="004A2756"/>
    <w:rsid w:val="004A49CD"/>
    <w:rsid w:val="004A4AED"/>
    <w:rsid w:val="004A58D1"/>
    <w:rsid w:val="004A5E88"/>
    <w:rsid w:val="004A65C0"/>
    <w:rsid w:val="004A6C11"/>
    <w:rsid w:val="004B1E66"/>
    <w:rsid w:val="004B4001"/>
    <w:rsid w:val="004B4B39"/>
    <w:rsid w:val="004B6EA9"/>
    <w:rsid w:val="004B735F"/>
    <w:rsid w:val="004B77FF"/>
    <w:rsid w:val="004C0F0C"/>
    <w:rsid w:val="004C1C90"/>
    <w:rsid w:val="004C49FA"/>
    <w:rsid w:val="004C4C9B"/>
    <w:rsid w:val="004C4EA4"/>
    <w:rsid w:val="004C7C47"/>
    <w:rsid w:val="004D0388"/>
    <w:rsid w:val="004D0478"/>
    <w:rsid w:val="004D0A93"/>
    <w:rsid w:val="004D20F5"/>
    <w:rsid w:val="004D34DD"/>
    <w:rsid w:val="004D382B"/>
    <w:rsid w:val="004D3B10"/>
    <w:rsid w:val="004D49D8"/>
    <w:rsid w:val="004D6E8F"/>
    <w:rsid w:val="004D73A7"/>
    <w:rsid w:val="004D7BA3"/>
    <w:rsid w:val="004E3C6A"/>
    <w:rsid w:val="004E46B0"/>
    <w:rsid w:val="004E645B"/>
    <w:rsid w:val="004F2948"/>
    <w:rsid w:val="004F3AC9"/>
    <w:rsid w:val="004F3E60"/>
    <w:rsid w:val="004F40EF"/>
    <w:rsid w:val="004F46F0"/>
    <w:rsid w:val="004F4F78"/>
    <w:rsid w:val="004F55EC"/>
    <w:rsid w:val="005013A2"/>
    <w:rsid w:val="0050386F"/>
    <w:rsid w:val="005041D5"/>
    <w:rsid w:val="005071D2"/>
    <w:rsid w:val="00510526"/>
    <w:rsid w:val="00510823"/>
    <w:rsid w:val="0051208D"/>
    <w:rsid w:val="005139EC"/>
    <w:rsid w:val="00515789"/>
    <w:rsid w:val="00516DA1"/>
    <w:rsid w:val="005201F1"/>
    <w:rsid w:val="00520ACC"/>
    <w:rsid w:val="00520B0B"/>
    <w:rsid w:val="005212D4"/>
    <w:rsid w:val="00522AA1"/>
    <w:rsid w:val="0052415B"/>
    <w:rsid w:val="005262C8"/>
    <w:rsid w:val="005266CB"/>
    <w:rsid w:val="00527FBD"/>
    <w:rsid w:val="0053069A"/>
    <w:rsid w:val="005308B0"/>
    <w:rsid w:val="00531618"/>
    <w:rsid w:val="0053444E"/>
    <w:rsid w:val="0053510C"/>
    <w:rsid w:val="005362B4"/>
    <w:rsid w:val="0053633A"/>
    <w:rsid w:val="00536E3A"/>
    <w:rsid w:val="005400DC"/>
    <w:rsid w:val="00542CCA"/>
    <w:rsid w:val="0054309D"/>
    <w:rsid w:val="005436F3"/>
    <w:rsid w:val="00544451"/>
    <w:rsid w:val="005449D5"/>
    <w:rsid w:val="00544A6C"/>
    <w:rsid w:val="00551427"/>
    <w:rsid w:val="00551C0A"/>
    <w:rsid w:val="00554430"/>
    <w:rsid w:val="00560551"/>
    <w:rsid w:val="00561922"/>
    <w:rsid w:val="00561FE9"/>
    <w:rsid w:val="00562804"/>
    <w:rsid w:val="00564093"/>
    <w:rsid w:val="00564F46"/>
    <w:rsid w:val="005659B2"/>
    <w:rsid w:val="00566CB6"/>
    <w:rsid w:val="00567AAC"/>
    <w:rsid w:val="00572A2F"/>
    <w:rsid w:val="00572C28"/>
    <w:rsid w:val="00572D91"/>
    <w:rsid w:val="00574893"/>
    <w:rsid w:val="00575E03"/>
    <w:rsid w:val="00576A3A"/>
    <w:rsid w:val="00576B9E"/>
    <w:rsid w:val="00577555"/>
    <w:rsid w:val="00577910"/>
    <w:rsid w:val="005803FA"/>
    <w:rsid w:val="00583A5E"/>
    <w:rsid w:val="00590CD8"/>
    <w:rsid w:val="00593310"/>
    <w:rsid w:val="0059593D"/>
    <w:rsid w:val="00595C4D"/>
    <w:rsid w:val="00597498"/>
    <w:rsid w:val="0059767A"/>
    <w:rsid w:val="005A0462"/>
    <w:rsid w:val="005A3825"/>
    <w:rsid w:val="005A43FC"/>
    <w:rsid w:val="005A6007"/>
    <w:rsid w:val="005A6752"/>
    <w:rsid w:val="005A6DE4"/>
    <w:rsid w:val="005A7236"/>
    <w:rsid w:val="005B08B3"/>
    <w:rsid w:val="005B0F07"/>
    <w:rsid w:val="005B16D7"/>
    <w:rsid w:val="005B1BB5"/>
    <w:rsid w:val="005B31FB"/>
    <w:rsid w:val="005B3AC2"/>
    <w:rsid w:val="005B439F"/>
    <w:rsid w:val="005B49CC"/>
    <w:rsid w:val="005B62FA"/>
    <w:rsid w:val="005B6576"/>
    <w:rsid w:val="005C09F1"/>
    <w:rsid w:val="005C0B01"/>
    <w:rsid w:val="005C1CF3"/>
    <w:rsid w:val="005C201C"/>
    <w:rsid w:val="005C37A8"/>
    <w:rsid w:val="005C3B0D"/>
    <w:rsid w:val="005C4B2D"/>
    <w:rsid w:val="005C5BC2"/>
    <w:rsid w:val="005C72E9"/>
    <w:rsid w:val="005C79F4"/>
    <w:rsid w:val="005D163E"/>
    <w:rsid w:val="005D33A6"/>
    <w:rsid w:val="005D4D03"/>
    <w:rsid w:val="005D5292"/>
    <w:rsid w:val="005D5470"/>
    <w:rsid w:val="005D637B"/>
    <w:rsid w:val="005E0829"/>
    <w:rsid w:val="005E14F6"/>
    <w:rsid w:val="005E162C"/>
    <w:rsid w:val="005E26A1"/>
    <w:rsid w:val="005E2D33"/>
    <w:rsid w:val="005E494F"/>
    <w:rsid w:val="005E5312"/>
    <w:rsid w:val="005E588E"/>
    <w:rsid w:val="005E5F0F"/>
    <w:rsid w:val="005E695B"/>
    <w:rsid w:val="005F0E22"/>
    <w:rsid w:val="005F1547"/>
    <w:rsid w:val="005F1604"/>
    <w:rsid w:val="005F24F4"/>
    <w:rsid w:val="005F2903"/>
    <w:rsid w:val="005F31D7"/>
    <w:rsid w:val="005F3AA3"/>
    <w:rsid w:val="005F537F"/>
    <w:rsid w:val="005F5931"/>
    <w:rsid w:val="005F7D07"/>
    <w:rsid w:val="0060020D"/>
    <w:rsid w:val="00602794"/>
    <w:rsid w:val="00604135"/>
    <w:rsid w:val="006058CB"/>
    <w:rsid w:val="0060733C"/>
    <w:rsid w:val="0061140B"/>
    <w:rsid w:val="00612B94"/>
    <w:rsid w:val="00613453"/>
    <w:rsid w:val="0061470B"/>
    <w:rsid w:val="00616AE1"/>
    <w:rsid w:val="00617F6B"/>
    <w:rsid w:val="0062067C"/>
    <w:rsid w:val="006214AD"/>
    <w:rsid w:val="0062541F"/>
    <w:rsid w:val="00625863"/>
    <w:rsid w:val="006260E5"/>
    <w:rsid w:val="0062647B"/>
    <w:rsid w:val="00627ADB"/>
    <w:rsid w:val="00627B69"/>
    <w:rsid w:val="00631A5D"/>
    <w:rsid w:val="00633754"/>
    <w:rsid w:val="00635E85"/>
    <w:rsid w:val="006371FF"/>
    <w:rsid w:val="006436A7"/>
    <w:rsid w:val="00643DD9"/>
    <w:rsid w:val="00644A75"/>
    <w:rsid w:val="006472A0"/>
    <w:rsid w:val="00651512"/>
    <w:rsid w:val="00654956"/>
    <w:rsid w:val="00654DE7"/>
    <w:rsid w:val="0065533C"/>
    <w:rsid w:val="00656A9D"/>
    <w:rsid w:val="00656F5E"/>
    <w:rsid w:val="00662CBC"/>
    <w:rsid w:val="006700A9"/>
    <w:rsid w:val="00670127"/>
    <w:rsid w:val="0067038D"/>
    <w:rsid w:val="00671A6A"/>
    <w:rsid w:val="00672AAA"/>
    <w:rsid w:val="00673F0C"/>
    <w:rsid w:val="00676A38"/>
    <w:rsid w:val="00680098"/>
    <w:rsid w:val="00680957"/>
    <w:rsid w:val="00682CFC"/>
    <w:rsid w:val="00683B13"/>
    <w:rsid w:val="00686216"/>
    <w:rsid w:val="00686325"/>
    <w:rsid w:val="00686EC4"/>
    <w:rsid w:val="00687063"/>
    <w:rsid w:val="00690FFC"/>
    <w:rsid w:val="00691425"/>
    <w:rsid w:val="00695E17"/>
    <w:rsid w:val="00696763"/>
    <w:rsid w:val="00696D1D"/>
    <w:rsid w:val="0069734A"/>
    <w:rsid w:val="006A139A"/>
    <w:rsid w:val="006A1939"/>
    <w:rsid w:val="006A303A"/>
    <w:rsid w:val="006A4427"/>
    <w:rsid w:val="006A45A4"/>
    <w:rsid w:val="006A45AE"/>
    <w:rsid w:val="006A46A1"/>
    <w:rsid w:val="006A5C3E"/>
    <w:rsid w:val="006B0367"/>
    <w:rsid w:val="006B147C"/>
    <w:rsid w:val="006B1E00"/>
    <w:rsid w:val="006B202A"/>
    <w:rsid w:val="006B4802"/>
    <w:rsid w:val="006B4D34"/>
    <w:rsid w:val="006B5097"/>
    <w:rsid w:val="006B5516"/>
    <w:rsid w:val="006B5D36"/>
    <w:rsid w:val="006B5E7D"/>
    <w:rsid w:val="006B7A09"/>
    <w:rsid w:val="006C42CE"/>
    <w:rsid w:val="006C51DA"/>
    <w:rsid w:val="006C5486"/>
    <w:rsid w:val="006C592D"/>
    <w:rsid w:val="006C5D93"/>
    <w:rsid w:val="006C748B"/>
    <w:rsid w:val="006C74B3"/>
    <w:rsid w:val="006D209C"/>
    <w:rsid w:val="006D3791"/>
    <w:rsid w:val="006D465F"/>
    <w:rsid w:val="006D46A6"/>
    <w:rsid w:val="006D4B56"/>
    <w:rsid w:val="006D7209"/>
    <w:rsid w:val="006E11C9"/>
    <w:rsid w:val="006E31AE"/>
    <w:rsid w:val="006E4984"/>
    <w:rsid w:val="006E5E71"/>
    <w:rsid w:val="006F32BF"/>
    <w:rsid w:val="006F38F6"/>
    <w:rsid w:val="006F3989"/>
    <w:rsid w:val="006F3DB1"/>
    <w:rsid w:val="006F4219"/>
    <w:rsid w:val="006F55D6"/>
    <w:rsid w:val="006F575A"/>
    <w:rsid w:val="00700A73"/>
    <w:rsid w:val="007015E9"/>
    <w:rsid w:val="00702A10"/>
    <w:rsid w:val="0070484E"/>
    <w:rsid w:val="00704ED8"/>
    <w:rsid w:val="0070601C"/>
    <w:rsid w:val="00706C45"/>
    <w:rsid w:val="00707008"/>
    <w:rsid w:val="00710993"/>
    <w:rsid w:val="00712884"/>
    <w:rsid w:val="00713C6D"/>
    <w:rsid w:val="00715090"/>
    <w:rsid w:val="00715379"/>
    <w:rsid w:val="0071587A"/>
    <w:rsid w:val="007159EB"/>
    <w:rsid w:val="007160E0"/>
    <w:rsid w:val="00716E3F"/>
    <w:rsid w:val="00717DE7"/>
    <w:rsid w:val="00720629"/>
    <w:rsid w:val="00720B16"/>
    <w:rsid w:val="007219C5"/>
    <w:rsid w:val="007223FC"/>
    <w:rsid w:val="00723E51"/>
    <w:rsid w:val="00725F23"/>
    <w:rsid w:val="007267EB"/>
    <w:rsid w:val="0072737A"/>
    <w:rsid w:val="00730159"/>
    <w:rsid w:val="00730AC8"/>
    <w:rsid w:val="00730C0D"/>
    <w:rsid w:val="0073129C"/>
    <w:rsid w:val="007339DB"/>
    <w:rsid w:val="007356FC"/>
    <w:rsid w:val="00735CE3"/>
    <w:rsid w:val="00736DD5"/>
    <w:rsid w:val="0074032D"/>
    <w:rsid w:val="0074101E"/>
    <w:rsid w:val="0074150A"/>
    <w:rsid w:val="00741FEC"/>
    <w:rsid w:val="007433D3"/>
    <w:rsid w:val="00743A86"/>
    <w:rsid w:val="00743F1B"/>
    <w:rsid w:val="0074430F"/>
    <w:rsid w:val="007448B9"/>
    <w:rsid w:val="007468E9"/>
    <w:rsid w:val="00746BED"/>
    <w:rsid w:val="00747D71"/>
    <w:rsid w:val="00750288"/>
    <w:rsid w:val="00751BF1"/>
    <w:rsid w:val="007537F1"/>
    <w:rsid w:val="00756643"/>
    <w:rsid w:val="007567FF"/>
    <w:rsid w:val="00756DA9"/>
    <w:rsid w:val="0075794D"/>
    <w:rsid w:val="007608C8"/>
    <w:rsid w:val="00761696"/>
    <w:rsid w:val="00761834"/>
    <w:rsid w:val="00761D56"/>
    <w:rsid w:val="007620D8"/>
    <w:rsid w:val="007631A8"/>
    <w:rsid w:val="0076420A"/>
    <w:rsid w:val="0076492F"/>
    <w:rsid w:val="00764D0F"/>
    <w:rsid w:val="00764ED5"/>
    <w:rsid w:val="007665AE"/>
    <w:rsid w:val="007665E7"/>
    <w:rsid w:val="00767809"/>
    <w:rsid w:val="00773845"/>
    <w:rsid w:val="0077605D"/>
    <w:rsid w:val="00780896"/>
    <w:rsid w:val="00780E48"/>
    <w:rsid w:val="00780FF2"/>
    <w:rsid w:val="007815A1"/>
    <w:rsid w:val="00783BF6"/>
    <w:rsid w:val="0078501F"/>
    <w:rsid w:val="00785229"/>
    <w:rsid w:val="00791744"/>
    <w:rsid w:val="0079186B"/>
    <w:rsid w:val="007919EE"/>
    <w:rsid w:val="00793312"/>
    <w:rsid w:val="00794B5C"/>
    <w:rsid w:val="00796A9E"/>
    <w:rsid w:val="00796D05"/>
    <w:rsid w:val="00797687"/>
    <w:rsid w:val="007A0BE3"/>
    <w:rsid w:val="007A25AF"/>
    <w:rsid w:val="007A30A5"/>
    <w:rsid w:val="007A4E36"/>
    <w:rsid w:val="007A5FB9"/>
    <w:rsid w:val="007A664A"/>
    <w:rsid w:val="007A70C6"/>
    <w:rsid w:val="007B11D0"/>
    <w:rsid w:val="007B1CB5"/>
    <w:rsid w:val="007B27E9"/>
    <w:rsid w:val="007B2987"/>
    <w:rsid w:val="007B6A8F"/>
    <w:rsid w:val="007B70D3"/>
    <w:rsid w:val="007C1116"/>
    <w:rsid w:val="007C3AA6"/>
    <w:rsid w:val="007C4EF2"/>
    <w:rsid w:val="007C55D4"/>
    <w:rsid w:val="007D093F"/>
    <w:rsid w:val="007D0BE8"/>
    <w:rsid w:val="007D0D6D"/>
    <w:rsid w:val="007D36CA"/>
    <w:rsid w:val="007D4C02"/>
    <w:rsid w:val="007D5920"/>
    <w:rsid w:val="007D6496"/>
    <w:rsid w:val="007D6731"/>
    <w:rsid w:val="007D6837"/>
    <w:rsid w:val="007D7001"/>
    <w:rsid w:val="007D782F"/>
    <w:rsid w:val="007D7E87"/>
    <w:rsid w:val="007E1666"/>
    <w:rsid w:val="007E1ECC"/>
    <w:rsid w:val="007E2A09"/>
    <w:rsid w:val="007E40DD"/>
    <w:rsid w:val="007E4D5F"/>
    <w:rsid w:val="007E5A59"/>
    <w:rsid w:val="007E7C73"/>
    <w:rsid w:val="007F0225"/>
    <w:rsid w:val="007F0AC8"/>
    <w:rsid w:val="007F10CE"/>
    <w:rsid w:val="007F167C"/>
    <w:rsid w:val="007F2066"/>
    <w:rsid w:val="007F2B93"/>
    <w:rsid w:val="007F4005"/>
    <w:rsid w:val="007F64E9"/>
    <w:rsid w:val="007F7EFE"/>
    <w:rsid w:val="007F7F51"/>
    <w:rsid w:val="0080100B"/>
    <w:rsid w:val="00801BBC"/>
    <w:rsid w:val="00802684"/>
    <w:rsid w:val="00804380"/>
    <w:rsid w:val="00804490"/>
    <w:rsid w:val="00805CED"/>
    <w:rsid w:val="00805FBA"/>
    <w:rsid w:val="00806655"/>
    <w:rsid w:val="00806B2A"/>
    <w:rsid w:val="008071EA"/>
    <w:rsid w:val="00810DA4"/>
    <w:rsid w:val="00813597"/>
    <w:rsid w:val="00814221"/>
    <w:rsid w:val="00814A29"/>
    <w:rsid w:val="00825793"/>
    <w:rsid w:val="008259B8"/>
    <w:rsid w:val="00825ADA"/>
    <w:rsid w:val="00825DEA"/>
    <w:rsid w:val="0082667C"/>
    <w:rsid w:val="008269BB"/>
    <w:rsid w:val="00827362"/>
    <w:rsid w:val="008279A8"/>
    <w:rsid w:val="00827E59"/>
    <w:rsid w:val="0083160C"/>
    <w:rsid w:val="0083338A"/>
    <w:rsid w:val="00833923"/>
    <w:rsid w:val="00834848"/>
    <w:rsid w:val="00834CDA"/>
    <w:rsid w:val="0083568E"/>
    <w:rsid w:val="00835A8D"/>
    <w:rsid w:val="008362EF"/>
    <w:rsid w:val="008367C0"/>
    <w:rsid w:val="00840F68"/>
    <w:rsid w:val="00841F00"/>
    <w:rsid w:val="00843EBB"/>
    <w:rsid w:val="008443EB"/>
    <w:rsid w:val="00844E1C"/>
    <w:rsid w:val="00847A9C"/>
    <w:rsid w:val="00855674"/>
    <w:rsid w:val="0086291A"/>
    <w:rsid w:val="00862D4F"/>
    <w:rsid w:val="00871456"/>
    <w:rsid w:val="00871856"/>
    <w:rsid w:val="008729F2"/>
    <w:rsid w:val="00872ABA"/>
    <w:rsid w:val="00872FCE"/>
    <w:rsid w:val="00874EBD"/>
    <w:rsid w:val="008761FC"/>
    <w:rsid w:val="00877D2F"/>
    <w:rsid w:val="008800C1"/>
    <w:rsid w:val="00881137"/>
    <w:rsid w:val="00882933"/>
    <w:rsid w:val="00883A75"/>
    <w:rsid w:val="00883F98"/>
    <w:rsid w:val="00884396"/>
    <w:rsid w:val="008843FC"/>
    <w:rsid w:val="008862BD"/>
    <w:rsid w:val="00886A92"/>
    <w:rsid w:val="008917E7"/>
    <w:rsid w:val="008962E9"/>
    <w:rsid w:val="0089653C"/>
    <w:rsid w:val="00896CA9"/>
    <w:rsid w:val="0089766E"/>
    <w:rsid w:val="00897AEF"/>
    <w:rsid w:val="008A0DE6"/>
    <w:rsid w:val="008A1FF5"/>
    <w:rsid w:val="008A233D"/>
    <w:rsid w:val="008A237E"/>
    <w:rsid w:val="008A447D"/>
    <w:rsid w:val="008A4AF5"/>
    <w:rsid w:val="008A4EFA"/>
    <w:rsid w:val="008A62A5"/>
    <w:rsid w:val="008A6ECD"/>
    <w:rsid w:val="008A74CD"/>
    <w:rsid w:val="008A7E2E"/>
    <w:rsid w:val="008B3124"/>
    <w:rsid w:val="008B5749"/>
    <w:rsid w:val="008B6744"/>
    <w:rsid w:val="008B6930"/>
    <w:rsid w:val="008B72A5"/>
    <w:rsid w:val="008B7762"/>
    <w:rsid w:val="008C0421"/>
    <w:rsid w:val="008C1918"/>
    <w:rsid w:val="008C1A51"/>
    <w:rsid w:val="008C2A4A"/>
    <w:rsid w:val="008C2F29"/>
    <w:rsid w:val="008C421B"/>
    <w:rsid w:val="008C4AD0"/>
    <w:rsid w:val="008C6B30"/>
    <w:rsid w:val="008D3033"/>
    <w:rsid w:val="008D493B"/>
    <w:rsid w:val="008D4A7C"/>
    <w:rsid w:val="008D51DA"/>
    <w:rsid w:val="008D53A9"/>
    <w:rsid w:val="008D5615"/>
    <w:rsid w:val="008D5F0D"/>
    <w:rsid w:val="008D683A"/>
    <w:rsid w:val="008E0359"/>
    <w:rsid w:val="008E0805"/>
    <w:rsid w:val="008E0FFB"/>
    <w:rsid w:val="008E12B9"/>
    <w:rsid w:val="008E2B4D"/>
    <w:rsid w:val="008E3094"/>
    <w:rsid w:val="008E3295"/>
    <w:rsid w:val="008E55EA"/>
    <w:rsid w:val="008E5926"/>
    <w:rsid w:val="008E75C5"/>
    <w:rsid w:val="008E7887"/>
    <w:rsid w:val="008E7E6E"/>
    <w:rsid w:val="008F1194"/>
    <w:rsid w:val="008F1884"/>
    <w:rsid w:val="008F237A"/>
    <w:rsid w:val="008F2796"/>
    <w:rsid w:val="008F34D3"/>
    <w:rsid w:val="008F6A2F"/>
    <w:rsid w:val="008F6B5E"/>
    <w:rsid w:val="008F755E"/>
    <w:rsid w:val="008F79D0"/>
    <w:rsid w:val="009008B1"/>
    <w:rsid w:val="00902015"/>
    <w:rsid w:val="00903531"/>
    <w:rsid w:val="00904A65"/>
    <w:rsid w:val="00905793"/>
    <w:rsid w:val="00907263"/>
    <w:rsid w:val="009123F6"/>
    <w:rsid w:val="00913E2A"/>
    <w:rsid w:val="0091468D"/>
    <w:rsid w:val="0091475E"/>
    <w:rsid w:val="009163B6"/>
    <w:rsid w:val="00916B61"/>
    <w:rsid w:val="00917ED2"/>
    <w:rsid w:val="00917F42"/>
    <w:rsid w:val="009205E3"/>
    <w:rsid w:val="009217A9"/>
    <w:rsid w:val="00922F29"/>
    <w:rsid w:val="009231E6"/>
    <w:rsid w:val="0092352C"/>
    <w:rsid w:val="00924926"/>
    <w:rsid w:val="00924ED9"/>
    <w:rsid w:val="009277E9"/>
    <w:rsid w:val="0093042C"/>
    <w:rsid w:val="00931316"/>
    <w:rsid w:val="00933086"/>
    <w:rsid w:val="00934A0F"/>
    <w:rsid w:val="009350E8"/>
    <w:rsid w:val="00935CA2"/>
    <w:rsid w:val="00937ED6"/>
    <w:rsid w:val="009406E7"/>
    <w:rsid w:val="00940B04"/>
    <w:rsid w:val="00944AB3"/>
    <w:rsid w:val="009465F6"/>
    <w:rsid w:val="009469A2"/>
    <w:rsid w:val="00950141"/>
    <w:rsid w:val="00950802"/>
    <w:rsid w:val="00950FC7"/>
    <w:rsid w:val="00951D07"/>
    <w:rsid w:val="00953FB3"/>
    <w:rsid w:val="0095455D"/>
    <w:rsid w:val="0095482D"/>
    <w:rsid w:val="009563AA"/>
    <w:rsid w:val="009623A4"/>
    <w:rsid w:val="00963229"/>
    <w:rsid w:val="0096515A"/>
    <w:rsid w:val="00965BC8"/>
    <w:rsid w:val="00965C79"/>
    <w:rsid w:val="00966601"/>
    <w:rsid w:val="00967094"/>
    <w:rsid w:val="00967DCB"/>
    <w:rsid w:val="00970079"/>
    <w:rsid w:val="009700A9"/>
    <w:rsid w:val="00970A79"/>
    <w:rsid w:val="00973C9C"/>
    <w:rsid w:val="009752BD"/>
    <w:rsid w:val="009758CF"/>
    <w:rsid w:val="0098672A"/>
    <w:rsid w:val="00990141"/>
    <w:rsid w:val="00990D6F"/>
    <w:rsid w:val="0099157D"/>
    <w:rsid w:val="00993A67"/>
    <w:rsid w:val="00994D7F"/>
    <w:rsid w:val="009962A0"/>
    <w:rsid w:val="0099644E"/>
    <w:rsid w:val="00996F8C"/>
    <w:rsid w:val="009A0627"/>
    <w:rsid w:val="009A0875"/>
    <w:rsid w:val="009A24C3"/>
    <w:rsid w:val="009A44CB"/>
    <w:rsid w:val="009A454D"/>
    <w:rsid w:val="009A472B"/>
    <w:rsid w:val="009A5C14"/>
    <w:rsid w:val="009A7763"/>
    <w:rsid w:val="009A7A9E"/>
    <w:rsid w:val="009A7B95"/>
    <w:rsid w:val="009B05E8"/>
    <w:rsid w:val="009B05F1"/>
    <w:rsid w:val="009B126C"/>
    <w:rsid w:val="009B2CF2"/>
    <w:rsid w:val="009B45E7"/>
    <w:rsid w:val="009B493A"/>
    <w:rsid w:val="009B4DE3"/>
    <w:rsid w:val="009B62CB"/>
    <w:rsid w:val="009B6612"/>
    <w:rsid w:val="009B6A55"/>
    <w:rsid w:val="009C158C"/>
    <w:rsid w:val="009C196E"/>
    <w:rsid w:val="009C3B52"/>
    <w:rsid w:val="009C4A6F"/>
    <w:rsid w:val="009C55F9"/>
    <w:rsid w:val="009C6025"/>
    <w:rsid w:val="009D161B"/>
    <w:rsid w:val="009D18A0"/>
    <w:rsid w:val="009D1EF0"/>
    <w:rsid w:val="009D478F"/>
    <w:rsid w:val="009D479C"/>
    <w:rsid w:val="009D5125"/>
    <w:rsid w:val="009D705F"/>
    <w:rsid w:val="009D7772"/>
    <w:rsid w:val="009D7E79"/>
    <w:rsid w:val="009E0B76"/>
    <w:rsid w:val="009E1143"/>
    <w:rsid w:val="009E2925"/>
    <w:rsid w:val="009E409E"/>
    <w:rsid w:val="009E63C4"/>
    <w:rsid w:val="009E7131"/>
    <w:rsid w:val="009F0065"/>
    <w:rsid w:val="009F0651"/>
    <w:rsid w:val="009F0908"/>
    <w:rsid w:val="009F1BCB"/>
    <w:rsid w:val="009F2488"/>
    <w:rsid w:val="009F3650"/>
    <w:rsid w:val="009F6E81"/>
    <w:rsid w:val="009F7321"/>
    <w:rsid w:val="00A00194"/>
    <w:rsid w:val="00A001C6"/>
    <w:rsid w:val="00A00244"/>
    <w:rsid w:val="00A02BF2"/>
    <w:rsid w:val="00A031F9"/>
    <w:rsid w:val="00A05A0B"/>
    <w:rsid w:val="00A05E0C"/>
    <w:rsid w:val="00A070DA"/>
    <w:rsid w:val="00A12FE6"/>
    <w:rsid w:val="00A14944"/>
    <w:rsid w:val="00A2017E"/>
    <w:rsid w:val="00A2337E"/>
    <w:rsid w:val="00A24A28"/>
    <w:rsid w:val="00A24FA6"/>
    <w:rsid w:val="00A2547A"/>
    <w:rsid w:val="00A261BA"/>
    <w:rsid w:val="00A26D65"/>
    <w:rsid w:val="00A37578"/>
    <w:rsid w:val="00A403A8"/>
    <w:rsid w:val="00A404B2"/>
    <w:rsid w:val="00A406D2"/>
    <w:rsid w:val="00A41901"/>
    <w:rsid w:val="00A428F3"/>
    <w:rsid w:val="00A44630"/>
    <w:rsid w:val="00A446D4"/>
    <w:rsid w:val="00A4582E"/>
    <w:rsid w:val="00A466C5"/>
    <w:rsid w:val="00A472C5"/>
    <w:rsid w:val="00A50CD1"/>
    <w:rsid w:val="00A513F1"/>
    <w:rsid w:val="00A528CC"/>
    <w:rsid w:val="00A52EF0"/>
    <w:rsid w:val="00A5472F"/>
    <w:rsid w:val="00A54C4F"/>
    <w:rsid w:val="00A560DE"/>
    <w:rsid w:val="00A565E9"/>
    <w:rsid w:val="00A56F02"/>
    <w:rsid w:val="00A57FD5"/>
    <w:rsid w:val="00A61B87"/>
    <w:rsid w:val="00A62028"/>
    <w:rsid w:val="00A6320B"/>
    <w:rsid w:val="00A640E4"/>
    <w:rsid w:val="00A6444C"/>
    <w:rsid w:val="00A64491"/>
    <w:rsid w:val="00A66DA4"/>
    <w:rsid w:val="00A7441C"/>
    <w:rsid w:val="00A75036"/>
    <w:rsid w:val="00A7606A"/>
    <w:rsid w:val="00A7702A"/>
    <w:rsid w:val="00A80332"/>
    <w:rsid w:val="00A80D18"/>
    <w:rsid w:val="00A84413"/>
    <w:rsid w:val="00A85069"/>
    <w:rsid w:val="00A851D3"/>
    <w:rsid w:val="00A85C99"/>
    <w:rsid w:val="00A86059"/>
    <w:rsid w:val="00A8682A"/>
    <w:rsid w:val="00A86B8B"/>
    <w:rsid w:val="00A877EA"/>
    <w:rsid w:val="00A90434"/>
    <w:rsid w:val="00A90848"/>
    <w:rsid w:val="00A90D5D"/>
    <w:rsid w:val="00A919A8"/>
    <w:rsid w:val="00A94817"/>
    <w:rsid w:val="00A95E04"/>
    <w:rsid w:val="00A9702D"/>
    <w:rsid w:val="00AA084D"/>
    <w:rsid w:val="00AA09CE"/>
    <w:rsid w:val="00AA109A"/>
    <w:rsid w:val="00AA184D"/>
    <w:rsid w:val="00AA21D4"/>
    <w:rsid w:val="00AA3ADF"/>
    <w:rsid w:val="00AA4945"/>
    <w:rsid w:val="00AA4F18"/>
    <w:rsid w:val="00AA7490"/>
    <w:rsid w:val="00AA7EB9"/>
    <w:rsid w:val="00AB0321"/>
    <w:rsid w:val="00AB21EA"/>
    <w:rsid w:val="00AB29DA"/>
    <w:rsid w:val="00AB2D5C"/>
    <w:rsid w:val="00AB3BFD"/>
    <w:rsid w:val="00AB51C0"/>
    <w:rsid w:val="00AB538D"/>
    <w:rsid w:val="00AB70F7"/>
    <w:rsid w:val="00AC12F5"/>
    <w:rsid w:val="00AC1749"/>
    <w:rsid w:val="00AC2A9D"/>
    <w:rsid w:val="00AC56CE"/>
    <w:rsid w:val="00AC59CF"/>
    <w:rsid w:val="00AC604F"/>
    <w:rsid w:val="00AC6C89"/>
    <w:rsid w:val="00AC71B2"/>
    <w:rsid w:val="00AD2F15"/>
    <w:rsid w:val="00AD34FD"/>
    <w:rsid w:val="00AD4224"/>
    <w:rsid w:val="00AD4E75"/>
    <w:rsid w:val="00AD6DC7"/>
    <w:rsid w:val="00AD74C8"/>
    <w:rsid w:val="00AE3181"/>
    <w:rsid w:val="00AE357C"/>
    <w:rsid w:val="00AE6795"/>
    <w:rsid w:val="00AE6ED6"/>
    <w:rsid w:val="00AE7EDF"/>
    <w:rsid w:val="00AF0768"/>
    <w:rsid w:val="00AF07F9"/>
    <w:rsid w:val="00AF143D"/>
    <w:rsid w:val="00AF165B"/>
    <w:rsid w:val="00AF16C9"/>
    <w:rsid w:val="00AF3257"/>
    <w:rsid w:val="00AF4186"/>
    <w:rsid w:val="00B01969"/>
    <w:rsid w:val="00B04BED"/>
    <w:rsid w:val="00B06EDD"/>
    <w:rsid w:val="00B10470"/>
    <w:rsid w:val="00B10AEC"/>
    <w:rsid w:val="00B12515"/>
    <w:rsid w:val="00B1367C"/>
    <w:rsid w:val="00B16963"/>
    <w:rsid w:val="00B2044E"/>
    <w:rsid w:val="00B234B3"/>
    <w:rsid w:val="00B24FA2"/>
    <w:rsid w:val="00B27D31"/>
    <w:rsid w:val="00B30BB7"/>
    <w:rsid w:val="00B3130A"/>
    <w:rsid w:val="00B320FF"/>
    <w:rsid w:val="00B32B9E"/>
    <w:rsid w:val="00B32FB1"/>
    <w:rsid w:val="00B33766"/>
    <w:rsid w:val="00B35AFE"/>
    <w:rsid w:val="00B40329"/>
    <w:rsid w:val="00B40649"/>
    <w:rsid w:val="00B40B8D"/>
    <w:rsid w:val="00B4103B"/>
    <w:rsid w:val="00B432A2"/>
    <w:rsid w:val="00B45440"/>
    <w:rsid w:val="00B4736B"/>
    <w:rsid w:val="00B52150"/>
    <w:rsid w:val="00B53BE1"/>
    <w:rsid w:val="00B5466A"/>
    <w:rsid w:val="00B546E5"/>
    <w:rsid w:val="00B54E07"/>
    <w:rsid w:val="00B565C8"/>
    <w:rsid w:val="00B56E68"/>
    <w:rsid w:val="00B575ED"/>
    <w:rsid w:val="00B57F78"/>
    <w:rsid w:val="00B62EFE"/>
    <w:rsid w:val="00B62F9E"/>
    <w:rsid w:val="00B6326B"/>
    <w:rsid w:val="00B6556B"/>
    <w:rsid w:val="00B66F7A"/>
    <w:rsid w:val="00B67ED0"/>
    <w:rsid w:val="00B70E53"/>
    <w:rsid w:val="00B71451"/>
    <w:rsid w:val="00B74278"/>
    <w:rsid w:val="00B74705"/>
    <w:rsid w:val="00B74730"/>
    <w:rsid w:val="00B75149"/>
    <w:rsid w:val="00B803D6"/>
    <w:rsid w:val="00B83257"/>
    <w:rsid w:val="00B903E3"/>
    <w:rsid w:val="00B911C2"/>
    <w:rsid w:val="00B91DF8"/>
    <w:rsid w:val="00B93396"/>
    <w:rsid w:val="00B94FBA"/>
    <w:rsid w:val="00B95300"/>
    <w:rsid w:val="00B9543E"/>
    <w:rsid w:val="00B9594C"/>
    <w:rsid w:val="00B96F03"/>
    <w:rsid w:val="00B9734C"/>
    <w:rsid w:val="00BA0B05"/>
    <w:rsid w:val="00BA1C6F"/>
    <w:rsid w:val="00BA314C"/>
    <w:rsid w:val="00BA6C1F"/>
    <w:rsid w:val="00BA6D21"/>
    <w:rsid w:val="00BB1E94"/>
    <w:rsid w:val="00BB57F4"/>
    <w:rsid w:val="00BB64DA"/>
    <w:rsid w:val="00BB7712"/>
    <w:rsid w:val="00BC177D"/>
    <w:rsid w:val="00BC1A41"/>
    <w:rsid w:val="00BC2114"/>
    <w:rsid w:val="00BC2908"/>
    <w:rsid w:val="00BC3FC3"/>
    <w:rsid w:val="00BC5224"/>
    <w:rsid w:val="00BC6BAB"/>
    <w:rsid w:val="00BC6FDF"/>
    <w:rsid w:val="00BC7AE4"/>
    <w:rsid w:val="00BC7D79"/>
    <w:rsid w:val="00BD02DD"/>
    <w:rsid w:val="00BD09E2"/>
    <w:rsid w:val="00BD4A4B"/>
    <w:rsid w:val="00BD4C27"/>
    <w:rsid w:val="00BD626E"/>
    <w:rsid w:val="00BD6E92"/>
    <w:rsid w:val="00BE05BB"/>
    <w:rsid w:val="00BE0F25"/>
    <w:rsid w:val="00BE207E"/>
    <w:rsid w:val="00BE274E"/>
    <w:rsid w:val="00BE336C"/>
    <w:rsid w:val="00BE4D2C"/>
    <w:rsid w:val="00BE5519"/>
    <w:rsid w:val="00BE7988"/>
    <w:rsid w:val="00BE7F6B"/>
    <w:rsid w:val="00BF0382"/>
    <w:rsid w:val="00BF082E"/>
    <w:rsid w:val="00BF0FC4"/>
    <w:rsid w:val="00BF1E0A"/>
    <w:rsid w:val="00BF27E9"/>
    <w:rsid w:val="00BF6F76"/>
    <w:rsid w:val="00C02978"/>
    <w:rsid w:val="00C034A9"/>
    <w:rsid w:val="00C03859"/>
    <w:rsid w:val="00C03DBF"/>
    <w:rsid w:val="00C04FA0"/>
    <w:rsid w:val="00C05E01"/>
    <w:rsid w:val="00C05E42"/>
    <w:rsid w:val="00C06075"/>
    <w:rsid w:val="00C063F1"/>
    <w:rsid w:val="00C078BD"/>
    <w:rsid w:val="00C104A8"/>
    <w:rsid w:val="00C13805"/>
    <w:rsid w:val="00C15CA6"/>
    <w:rsid w:val="00C16807"/>
    <w:rsid w:val="00C2025F"/>
    <w:rsid w:val="00C214FA"/>
    <w:rsid w:val="00C2167D"/>
    <w:rsid w:val="00C21BCC"/>
    <w:rsid w:val="00C228FA"/>
    <w:rsid w:val="00C23C07"/>
    <w:rsid w:val="00C2403A"/>
    <w:rsid w:val="00C24CC2"/>
    <w:rsid w:val="00C266D3"/>
    <w:rsid w:val="00C266DA"/>
    <w:rsid w:val="00C26FE9"/>
    <w:rsid w:val="00C27BD3"/>
    <w:rsid w:val="00C27D03"/>
    <w:rsid w:val="00C31095"/>
    <w:rsid w:val="00C31607"/>
    <w:rsid w:val="00C32321"/>
    <w:rsid w:val="00C32332"/>
    <w:rsid w:val="00C349F0"/>
    <w:rsid w:val="00C34A1E"/>
    <w:rsid w:val="00C3720B"/>
    <w:rsid w:val="00C41423"/>
    <w:rsid w:val="00C43335"/>
    <w:rsid w:val="00C4334F"/>
    <w:rsid w:val="00C4434A"/>
    <w:rsid w:val="00C44974"/>
    <w:rsid w:val="00C44E9E"/>
    <w:rsid w:val="00C46098"/>
    <w:rsid w:val="00C46439"/>
    <w:rsid w:val="00C46B32"/>
    <w:rsid w:val="00C47A26"/>
    <w:rsid w:val="00C50E1F"/>
    <w:rsid w:val="00C516EC"/>
    <w:rsid w:val="00C53DC9"/>
    <w:rsid w:val="00C571A9"/>
    <w:rsid w:val="00C57A73"/>
    <w:rsid w:val="00C615A7"/>
    <w:rsid w:val="00C616BF"/>
    <w:rsid w:val="00C62C5D"/>
    <w:rsid w:val="00C64873"/>
    <w:rsid w:val="00C65A0A"/>
    <w:rsid w:val="00C66628"/>
    <w:rsid w:val="00C73961"/>
    <w:rsid w:val="00C7422F"/>
    <w:rsid w:val="00C751BF"/>
    <w:rsid w:val="00C7651A"/>
    <w:rsid w:val="00C77280"/>
    <w:rsid w:val="00C812AA"/>
    <w:rsid w:val="00C81AD1"/>
    <w:rsid w:val="00C83111"/>
    <w:rsid w:val="00C84265"/>
    <w:rsid w:val="00C84ED5"/>
    <w:rsid w:val="00C9070B"/>
    <w:rsid w:val="00C94791"/>
    <w:rsid w:val="00C96465"/>
    <w:rsid w:val="00C96D0A"/>
    <w:rsid w:val="00CA001B"/>
    <w:rsid w:val="00CA01AD"/>
    <w:rsid w:val="00CA1A52"/>
    <w:rsid w:val="00CA2625"/>
    <w:rsid w:val="00CA3024"/>
    <w:rsid w:val="00CA3E46"/>
    <w:rsid w:val="00CA5475"/>
    <w:rsid w:val="00CA6FE3"/>
    <w:rsid w:val="00CB19DA"/>
    <w:rsid w:val="00CB1BF5"/>
    <w:rsid w:val="00CB3AF4"/>
    <w:rsid w:val="00CB3F45"/>
    <w:rsid w:val="00CB40A0"/>
    <w:rsid w:val="00CB44F6"/>
    <w:rsid w:val="00CB51FF"/>
    <w:rsid w:val="00CB7F06"/>
    <w:rsid w:val="00CC0334"/>
    <w:rsid w:val="00CC1692"/>
    <w:rsid w:val="00CC1B8B"/>
    <w:rsid w:val="00CC1DF5"/>
    <w:rsid w:val="00CC3A59"/>
    <w:rsid w:val="00CC4253"/>
    <w:rsid w:val="00CC4804"/>
    <w:rsid w:val="00CC5133"/>
    <w:rsid w:val="00CC59AB"/>
    <w:rsid w:val="00CC5F27"/>
    <w:rsid w:val="00CC63FE"/>
    <w:rsid w:val="00CC7437"/>
    <w:rsid w:val="00CD1841"/>
    <w:rsid w:val="00CD20E1"/>
    <w:rsid w:val="00CD3BBB"/>
    <w:rsid w:val="00CD3C54"/>
    <w:rsid w:val="00CD492D"/>
    <w:rsid w:val="00CE204E"/>
    <w:rsid w:val="00CE3521"/>
    <w:rsid w:val="00CE3BC2"/>
    <w:rsid w:val="00CE5723"/>
    <w:rsid w:val="00CE6ED8"/>
    <w:rsid w:val="00CE74C3"/>
    <w:rsid w:val="00CF1168"/>
    <w:rsid w:val="00CF1C88"/>
    <w:rsid w:val="00CF3FC7"/>
    <w:rsid w:val="00CF4841"/>
    <w:rsid w:val="00CF5493"/>
    <w:rsid w:val="00CF67D8"/>
    <w:rsid w:val="00CF694E"/>
    <w:rsid w:val="00CF6BF4"/>
    <w:rsid w:val="00CF7DE9"/>
    <w:rsid w:val="00D01398"/>
    <w:rsid w:val="00D0189D"/>
    <w:rsid w:val="00D04528"/>
    <w:rsid w:val="00D050BA"/>
    <w:rsid w:val="00D05E32"/>
    <w:rsid w:val="00D06FC6"/>
    <w:rsid w:val="00D106A3"/>
    <w:rsid w:val="00D11CE7"/>
    <w:rsid w:val="00D12281"/>
    <w:rsid w:val="00D13764"/>
    <w:rsid w:val="00D137C2"/>
    <w:rsid w:val="00D14D03"/>
    <w:rsid w:val="00D174F0"/>
    <w:rsid w:val="00D17707"/>
    <w:rsid w:val="00D22CDE"/>
    <w:rsid w:val="00D26B1B"/>
    <w:rsid w:val="00D2713F"/>
    <w:rsid w:val="00D2772F"/>
    <w:rsid w:val="00D3079F"/>
    <w:rsid w:val="00D30C5E"/>
    <w:rsid w:val="00D3100A"/>
    <w:rsid w:val="00D312EB"/>
    <w:rsid w:val="00D3348F"/>
    <w:rsid w:val="00D3413F"/>
    <w:rsid w:val="00D3483B"/>
    <w:rsid w:val="00D3497A"/>
    <w:rsid w:val="00D373B0"/>
    <w:rsid w:val="00D40C75"/>
    <w:rsid w:val="00D40F22"/>
    <w:rsid w:val="00D4142C"/>
    <w:rsid w:val="00D4229B"/>
    <w:rsid w:val="00D42F0B"/>
    <w:rsid w:val="00D45C32"/>
    <w:rsid w:val="00D462AD"/>
    <w:rsid w:val="00D46FF7"/>
    <w:rsid w:val="00D47AD5"/>
    <w:rsid w:val="00D47D4C"/>
    <w:rsid w:val="00D518C3"/>
    <w:rsid w:val="00D51C09"/>
    <w:rsid w:val="00D532C6"/>
    <w:rsid w:val="00D5426B"/>
    <w:rsid w:val="00D5599A"/>
    <w:rsid w:val="00D55B21"/>
    <w:rsid w:val="00D569AD"/>
    <w:rsid w:val="00D605E5"/>
    <w:rsid w:val="00D62A8B"/>
    <w:rsid w:val="00D71595"/>
    <w:rsid w:val="00D71B33"/>
    <w:rsid w:val="00D71FDF"/>
    <w:rsid w:val="00D72158"/>
    <w:rsid w:val="00D740F4"/>
    <w:rsid w:val="00D802FD"/>
    <w:rsid w:val="00D8162D"/>
    <w:rsid w:val="00D869C5"/>
    <w:rsid w:val="00D932E1"/>
    <w:rsid w:val="00D937A6"/>
    <w:rsid w:val="00D9385C"/>
    <w:rsid w:val="00D94A5A"/>
    <w:rsid w:val="00D95166"/>
    <w:rsid w:val="00D97721"/>
    <w:rsid w:val="00DA0427"/>
    <w:rsid w:val="00DA05B7"/>
    <w:rsid w:val="00DA127D"/>
    <w:rsid w:val="00DA266F"/>
    <w:rsid w:val="00DA26A7"/>
    <w:rsid w:val="00DA2928"/>
    <w:rsid w:val="00DA30E8"/>
    <w:rsid w:val="00DA3AE2"/>
    <w:rsid w:val="00DA3B33"/>
    <w:rsid w:val="00DA42A3"/>
    <w:rsid w:val="00DA5B4D"/>
    <w:rsid w:val="00DA7075"/>
    <w:rsid w:val="00DA74A2"/>
    <w:rsid w:val="00DB6664"/>
    <w:rsid w:val="00DB73FB"/>
    <w:rsid w:val="00DB7CD4"/>
    <w:rsid w:val="00DC0DBE"/>
    <w:rsid w:val="00DC429D"/>
    <w:rsid w:val="00DC553A"/>
    <w:rsid w:val="00DC6E17"/>
    <w:rsid w:val="00DC6F8F"/>
    <w:rsid w:val="00DC762A"/>
    <w:rsid w:val="00DD26B7"/>
    <w:rsid w:val="00DD35D4"/>
    <w:rsid w:val="00DD4DCA"/>
    <w:rsid w:val="00DD5181"/>
    <w:rsid w:val="00DD5CCB"/>
    <w:rsid w:val="00DD6003"/>
    <w:rsid w:val="00DD7B1D"/>
    <w:rsid w:val="00DE189C"/>
    <w:rsid w:val="00DE1A4C"/>
    <w:rsid w:val="00DE285A"/>
    <w:rsid w:val="00DE2F3F"/>
    <w:rsid w:val="00DE4AFA"/>
    <w:rsid w:val="00DE5417"/>
    <w:rsid w:val="00DE5630"/>
    <w:rsid w:val="00DE6892"/>
    <w:rsid w:val="00DE7227"/>
    <w:rsid w:val="00DE76FC"/>
    <w:rsid w:val="00DF3789"/>
    <w:rsid w:val="00DF3F22"/>
    <w:rsid w:val="00DF4241"/>
    <w:rsid w:val="00DF45B4"/>
    <w:rsid w:val="00DF4680"/>
    <w:rsid w:val="00DF4731"/>
    <w:rsid w:val="00DF4BAB"/>
    <w:rsid w:val="00DF5D14"/>
    <w:rsid w:val="00DF608E"/>
    <w:rsid w:val="00DF6CC5"/>
    <w:rsid w:val="00DF6DEE"/>
    <w:rsid w:val="00DF6FF1"/>
    <w:rsid w:val="00DF76E0"/>
    <w:rsid w:val="00E0139A"/>
    <w:rsid w:val="00E015A9"/>
    <w:rsid w:val="00E02883"/>
    <w:rsid w:val="00E04029"/>
    <w:rsid w:val="00E04242"/>
    <w:rsid w:val="00E10861"/>
    <w:rsid w:val="00E120BC"/>
    <w:rsid w:val="00E1376C"/>
    <w:rsid w:val="00E15635"/>
    <w:rsid w:val="00E16BEE"/>
    <w:rsid w:val="00E21B02"/>
    <w:rsid w:val="00E23869"/>
    <w:rsid w:val="00E26156"/>
    <w:rsid w:val="00E27323"/>
    <w:rsid w:val="00E3099D"/>
    <w:rsid w:val="00E333FB"/>
    <w:rsid w:val="00E3345C"/>
    <w:rsid w:val="00E36150"/>
    <w:rsid w:val="00E36F7B"/>
    <w:rsid w:val="00E40778"/>
    <w:rsid w:val="00E41FE9"/>
    <w:rsid w:val="00E4501A"/>
    <w:rsid w:val="00E4586E"/>
    <w:rsid w:val="00E45DE5"/>
    <w:rsid w:val="00E45DEB"/>
    <w:rsid w:val="00E464B9"/>
    <w:rsid w:val="00E46BFA"/>
    <w:rsid w:val="00E47194"/>
    <w:rsid w:val="00E477BE"/>
    <w:rsid w:val="00E47B62"/>
    <w:rsid w:val="00E51517"/>
    <w:rsid w:val="00E51F74"/>
    <w:rsid w:val="00E54533"/>
    <w:rsid w:val="00E55868"/>
    <w:rsid w:val="00E60C14"/>
    <w:rsid w:val="00E61815"/>
    <w:rsid w:val="00E63C50"/>
    <w:rsid w:val="00E653EB"/>
    <w:rsid w:val="00E65D86"/>
    <w:rsid w:val="00E66967"/>
    <w:rsid w:val="00E67E1C"/>
    <w:rsid w:val="00E70E2A"/>
    <w:rsid w:val="00E72C1A"/>
    <w:rsid w:val="00E74BBE"/>
    <w:rsid w:val="00E763CD"/>
    <w:rsid w:val="00E76A0F"/>
    <w:rsid w:val="00E7711B"/>
    <w:rsid w:val="00E807D4"/>
    <w:rsid w:val="00E8114F"/>
    <w:rsid w:val="00E828F9"/>
    <w:rsid w:val="00E82B64"/>
    <w:rsid w:val="00E83E08"/>
    <w:rsid w:val="00E850A3"/>
    <w:rsid w:val="00E8528B"/>
    <w:rsid w:val="00E86A15"/>
    <w:rsid w:val="00E87034"/>
    <w:rsid w:val="00E90733"/>
    <w:rsid w:val="00E90F26"/>
    <w:rsid w:val="00E931A2"/>
    <w:rsid w:val="00E93D9A"/>
    <w:rsid w:val="00E96340"/>
    <w:rsid w:val="00EA38D5"/>
    <w:rsid w:val="00EA4363"/>
    <w:rsid w:val="00EA5409"/>
    <w:rsid w:val="00EA5F10"/>
    <w:rsid w:val="00EA5F30"/>
    <w:rsid w:val="00EA6EA0"/>
    <w:rsid w:val="00EA6F59"/>
    <w:rsid w:val="00EA789A"/>
    <w:rsid w:val="00EA7F85"/>
    <w:rsid w:val="00EB219C"/>
    <w:rsid w:val="00EB321E"/>
    <w:rsid w:val="00EB62A2"/>
    <w:rsid w:val="00EB64FC"/>
    <w:rsid w:val="00EB7B3E"/>
    <w:rsid w:val="00EC0FC7"/>
    <w:rsid w:val="00EC3466"/>
    <w:rsid w:val="00EC37C6"/>
    <w:rsid w:val="00EC3CEA"/>
    <w:rsid w:val="00EC744B"/>
    <w:rsid w:val="00EC778D"/>
    <w:rsid w:val="00EC7B5A"/>
    <w:rsid w:val="00ED0894"/>
    <w:rsid w:val="00ED1573"/>
    <w:rsid w:val="00ED1966"/>
    <w:rsid w:val="00ED419B"/>
    <w:rsid w:val="00ED4DA5"/>
    <w:rsid w:val="00ED5AAA"/>
    <w:rsid w:val="00ED5AF3"/>
    <w:rsid w:val="00ED6E55"/>
    <w:rsid w:val="00ED71E9"/>
    <w:rsid w:val="00ED7419"/>
    <w:rsid w:val="00EE050F"/>
    <w:rsid w:val="00EE067F"/>
    <w:rsid w:val="00EE081A"/>
    <w:rsid w:val="00EE1EB5"/>
    <w:rsid w:val="00EE243B"/>
    <w:rsid w:val="00EE2FB7"/>
    <w:rsid w:val="00EE60DB"/>
    <w:rsid w:val="00EE7E38"/>
    <w:rsid w:val="00EE7EEA"/>
    <w:rsid w:val="00EF1D7E"/>
    <w:rsid w:val="00EF2D5D"/>
    <w:rsid w:val="00EF39FC"/>
    <w:rsid w:val="00EF449C"/>
    <w:rsid w:val="00EF4CEE"/>
    <w:rsid w:val="00EF5638"/>
    <w:rsid w:val="00EF6801"/>
    <w:rsid w:val="00EF7F09"/>
    <w:rsid w:val="00F016CA"/>
    <w:rsid w:val="00F01E4F"/>
    <w:rsid w:val="00F04143"/>
    <w:rsid w:val="00F0482C"/>
    <w:rsid w:val="00F0740D"/>
    <w:rsid w:val="00F07750"/>
    <w:rsid w:val="00F07780"/>
    <w:rsid w:val="00F106C0"/>
    <w:rsid w:val="00F10988"/>
    <w:rsid w:val="00F10A86"/>
    <w:rsid w:val="00F12149"/>
    <w:rsid w:val="00F13587"/>
    <w:rsid w:val="00F16387"/>
    <w:rsid w:val="00F203C7"/>
    <w:rsid w:val="00F210E0"/>
    <w:rsid w:val="00F21646"/>
    <w:rsid w:val="00F21917"/>
    <w:rsid w:val="00F27A4B"/>
    <w:rsid w:val="00F27BB1"/>
    <w:rsid w:val="00F31BEE"/>
    <w:rsid w:val="00F32B0E"/>
    <w:rsid w:val="00F33DC4"/>
    <w:rsid w:val="00F35946"/>
    <w:rsid w:val="00F359C0"/>
    <w:rsid w:val="00F35A3E"/>
    <w:rsid w:val="00F37DBE"/>
    <w:rsid w:val="00F421EA"/>
    <w:rsid w:val="00F430AC"/>
    <w:rsid w:val="00F462D5"/>
    <w:rsid w:val="00F46975"/>
    <w:rsid w:val="00F477B9"/>
    <w:rsid w:val="00F53604"/>
    <w:rsid w:val="00F54A39"/>
    <w:rsid w:val="00F54B2D"/>
    <w:rsid w:val="00F54BBB"/>
    <w:rsid w:val="00F55625"/>
    <w:rsid w:val="00F55FAE"/>
    <w:rsid w:val="00F60171"/>
    <w:rsid w:val="00F6086F"/>
    <w:rsid w:val="00F613FA"/>
    <w:rsid w:val="00F61F89"/>
    <w:rsid w:val="00F6631F"/>
    <w:rsid w:val="00F72112"/>
    <w:rsid w:val="00F723D6"/>
    <w:rsid w:val="00F724AB"/>
    <w:rsid w:val="00F77E87"/>
    <w:rsid w:val="00F804E3"/>
    <w:rsid w:val="00F806A9"/>
    <w:rsid w:val="00F81620"/>
    <w:rsid w:val="00F8217F"/>
    <w:rsid w:val="00F83113"/>
    <w:rsid w:val="00F83C22"/>
    <w:rsid w:val="00F84521"/>
    <w:rsid w:val="00F87451"/>
    <w:rsid w:val="00F906AB"/>
    <w:rsid w:val="00F91766"/>
    <w:rsid w:val="00F91A6E"/>
    <w:rsid w:val="00F96B7D"/>
    <w:rsid w:val="00FA0537"/>
    <w:rsid w:val="00FA25EA"/>
    <w:rsid w:val="00FA2ECA"/>
    <w:rsid w:val="00FA2FA8"/>
    <w:rsid w:val="00FA65E5"/>
    <w:rsid w:val="00FA6A63"/>
    <w:rsid w:val="00FB1348"/>
    <w:rsid w:val="00FB1D2A"/>
    <w:rsid w:val="00FB1EA0"/>
    <w:rsid w:val="00FB2144"/>
    <w:rsid w:val="00FB2DA4"/>
    <w:rsid w:val="00FB45C2"/>
    <w:rsid w:val="00FB6B51"/>
    <w:rsid w:val="00FC1E49"/>
    <w:rsid w:val="00FC2786"/>
    <w:rsid w:val="00FC36CB"/>
    <w:rsid w:val="00FC3779"/>
    <w:rsid w:val="00FC400D"/>
    <w:rsid w:val="00FC58AA"/>
    <w:rsid w:val="00FC7979"/>
    <w:rsid w:val="00FC7CE2"/>
    <w:rsid w:val="00FD1489"/>
    <w:rsid w:val="00FD15A5"/>
    <w:rsid w:val="00FD2169"/>
    <w:rsid w:val="00FD245E"/>
    <w:rsid w:val="00FD24D9"/>
    <w:rsid w:val="00FD2B4A"/>
    <w:rsid w:val="00FD43CA"/>
    <w:rsid w:val="00FD4B6C"/>
    <w:rsid w:val="00FD7C6C"/>
    <w:rsid w:val="00FE1CB9"/>
    <w:rsid w:val="00FE54A8"/>
    <w:rsid w:val="00FE6741"/>
    <w:rsid w:val="00FE6B1A"/>
    <w:rsid w:val="00FF06F9"/>
    <w:rsid w:val="00FF0FB4"/>
    <w:rsid w:val="00FF1A88"/>
    <w:rsid w:val="00FF2B2A"/>
    <w:rsid w:val="00FF2B97"/>
    <w:rsid w:val="00FF4EE6"/>
    <w:rsid w:val="00FF683E"/>
    <w:rsid w:val="015209ED"/>
    <w:rsid w:val="018A5D13"/>
    <w:rsid w:val="0194431F"/>
    <w:rsid w:val="01E8002F"/>
    <w:rsid w:val="01F10A4B"/>
    <w:rsid w:val="02A62BE9"/>
    <w:rsid w:val="02CD6006"/>
    <w:rsid w:val="02D16326"/>
    <w:rsid w:val="02E14AB1"/>
    <w:rsid w:val="033A123E"/>
    <w:rsid w:val="034335FA"/>
    <w:rsid w:val="036A51AD"/>
    <w:rsid w:val="036E7BB6"/>
    <w:rsid w:val="0383364B"/>
    <w:rsid w:val="03D837A8"/>
    <w:rsid w:val="0479381B"/>
    <w:rsid w:val="04F67774"/>
    <w:rsid w:val="056F4477"/>
    <w:rsid w:val="05C24554"/>
    <w:rsid w:val="05D170A8"/>
    <w:rsid w:val="05E56CDC"/>
    <w:rsid w:val="05FB2EA2"/>
    <w:rsid w:val="0671319E"/>
    <w:rsid w:val="06BC0C53"/>
    <w:rsid w:val="06C61B59"/>
    <w:rsid w:val="07731EDA"/>
    <w:rsid w:val="07EE0FA0"/>
    <w:rsid w:val="084131A0"/>
    <w:rsid w:val="093B5BA9"/>
    <w:rsid w:val="097F69FA"/>
    <w:rsid w:val="099D0555"/>
    <w:rsid w:val="09FF588F"/>
    <w:rsid w:val="0A392F7B"/>
    <w:rsid w:val="0A77384F"/>
    <w:rsid w:val="0ACC4A81"/>
    <w:rsid w:val="0B8445B4"/>
    <w:rsid w:val="0B9C374F"/>
    <w:rsid w:val="0BA11BEE"/>
    <w:rsid w:val="0BEC30C9"/>
    <w:rsid w:val="0C48088E"/>
    <w:rsid w:val="0C894AB8"/>
    <w:rsid w:val="0D0D51A1"/>
    <w:rsid w:val="0D200BB6"/>
    <w:rsid w:val="0D5F63C0"/>
    <w:rsid w:val="0D7972CE"/>
    <w:rsid w:val="0DAF4280"/>
    <w:rsid w:val="0E422521"/>
    <w:rsid w:val="0E5674C0"/>
    <w:rsid w:val="0EC72E07"/>
    <w:rsid w:val="0F663BA5"/>
    <w:rsid w:val="0F7067E8"/>
    <w:rsid w:val="0F923AB0"/>
    <w:rsid w:val="0FAF10CE"/>
    <w:rsid w:val="104E53CE"/>
    <w:rsid w:val="10831037"/>
    <w:rsid w:val="109F1442"/>
    <w:rsid w:val="10D765E7"/>
    <w:rsid w:val="10E55ACF"/>
    <w:rsid w:val="10EA422A"/>
    <w:rsid w:val="10F37717"/>
    <w:rsid w:val="112B3525"/>
    <w:rsid w:val="11DE70DE"/>
    <w:rsid w:val="11F8532A"/>
    <w:rsid w:val="12141D1F"/>
    <w:rsid w:val="12305220"/>
    <w:rsid w:val="128C6FF6"/>
    <w:rsid w:val="129928EB"/>
    <w:rsid w:val="12FD043A"/>
    <w:rsid w:val="130F5125"/>
    <w:rsid w:val="133A5971"/>
    <w:rsid w:val="13850E78"/>
    <w:rsid w:val="138E2B8D"/>
    <w:rsid w:val="138F40F7"/>
    <w:rsid w:val="146F3DF7"/>
    <w:rsid w:val="14E40183"/>
    <w:rsid w:val="151843BC"/>
    <w:rsid w:val="15466935"/>
    <w:rsid w:val="157531A0"/>
    <w:rsid w:val="15B64F8F"/>
    <w:rsid w:val="15CF287D"/>
    <w:rsid w:val="16287370"/>
    <w:rsid w:val="162F011F"/>
    <w:rsid w:val="16BB26F8"/>
    <w:rsid w:val="16CD5009"/>
    <w:rsid w:val="17121734"/>
    <w:rsid w:val="176A14D9"/>
    <w:rsid w:val="17C078CB"/>
    <w:rsid w:val="17E23DD4"/>
    <w:rsid w:val="181E174A"/>
    <w:rsid w:val="183A3312"/>
    <w:rsid w:val="18F87A98"/>
    <w:rsid w:val="19641023"/>
    <w:rsid w:val="196B405E"/>
    <w:rsid w:val="199B6CC4"/>
    <w:rsid w:val="19A07F59"/>
    <w:rsid w:val="19B7732F"/>
    <w:rsid w:val="1A033A08"/>
    <w:rsid w:val="1A516D0F"/>
    <w:rsid w:val="1A556062"/>
    <w:rsid w:val="1B3201DD"/>
    <w:rsid w:val="1B4C64BD"/>
    <w:rsid w:val="1B4D36B1"/>
    <w:rsid w:val="1BA91EFF"/>
    <w:rsid w:val="1BBB41AB"/>
    <w:rsid w:val="1BEF680F"/>
    <w:rsid w:val="1C027767"/>
    <w:rsid w:val="1C8E3149"/>
    <w:rsid w:val="1C9A7219"/>
    <w:rsid w:val="1CFD3FD3"/>
    <w:rsid w:val="1D276828"/>
    <w:rsid w:val="1D5346F0"/>
    <w:rsid w:val="1D645BD4"/>
    <w:rsid w:val="1D6D7635"/>
    <w:rsid w:val="1D7579FA"/>
    <w:rsid w:val="1D924373"/>
    <w:rsid w:val="1D985996"/>
    <w:rsid w:val="1E1006E6"/>
    <w:rsid w:val="1E4F01B9"/>
    <w:rsid w:val="1EA4443B"/>
    <w:rsid w:val="1EA87234"/>
    <w:rsid w:val="1EC206FB"/>
    <w:rsid w:val="1EE040CA"/>
    <w:rsid w:val="1EEB067E"/>
    <w:rsid w:val="1EEB0CD6"/>
    <w:rsid w:val="1EF17B30"/>
    <w:rsid w:val="1F3E4737"/>
    <w:rsid w:val="1F6E052A"/>
    <w:rsid w:val="1F76388C"/>
    <w:rsid w:val="1FB6782F"/>
    <w:rsid w:val="20095FBF"/>
    <w:rsid w:val="206A5E01"/>
    <w:rsid w:val="209B1322"/>
    <w:rsid w:val="20A57817"/>
    <w:rsid w:val="20C13F30"/>
    <w:rsid w:val="212C6D72"/>
    <w:rsid w:val="213644A8"/>
    <w:rsid w:val="21510889"/>
    <w:rsid w:val="22546781"/>
    <w:rsid w:val="23151294"/>
    <w:rsid w:val="233F63EE"/>
    <w:rsid w:val="237F15A3"/>
    <w:rsid w:val="23A55F71"/>
    <w:rsid w:val="23AB2404"/>
    <w:rsid w:val="23AC7493"/>
    <w:rsid w:val="24BB546F"/>
    <w:rsid w:val="250C3648"/>
    <w:rsid w:val="25213037"/>
    <w:rsid w:val="257A7A34"/>
    <w:rsid w:val="26421257"/>
    <w:rsid w:val="265A5C24"/>
    <w:rsid w:val="26875F75"/>
    <w:rsid w:val="277907C8"/>
    <w:rsid w:val="279B7C74"/>
    <w:rsid w:val="27A93268"/>
    <w:rsid w:val="27F87FC2"/>
    <w:rsid w:val="283B2206"/>
    <w:rsid w:val="287A5795"/>
    <w:rsid w:val="28BB2087"/>
    <w:rsid w:val="28E61DCA"/>
    <w:rsid w:val="28FD058B"/>
    <w:rsid w:val="29254958"/>
    <w:rsid w:val="29501300"/>
    <w:rsid w:val="29A64AAB"/>
    <w:rsid w:val="2A445C52"/>
    <w:rsid w:val="2A63017B"/>
    <w:rsid w:val="2ADD610D"/>
    <w:rsid w:val="2AF469CF"/>
    <w:rsid w:val="2AFD7AC8"/>
    <w:rsid w:val="2B660A1C"/>
    <w:rsid w:val="2B7F6AA5"/>
    <w:rsid w:val="2CA55C6B"/>
    <w:rsid w:val="2D064D96"/>
    <w:rsid w:val="2D381B6B"/>
    <w:rsid w:val="2D7C7356"/>
    <w:rsid w:val="2DC559A5"/>
    <w:rsid w:val="2DE1082F"/>
    <w:rsid w:val="2E0C17AB"/>
    <w:rsid w:val="2E3C4214"/>
    <w:rsid w:val="2E665FDB"/>
    <w:rsid w:val="2EB62279"/>
    <w:rsid w:val="2ED262D5"/>
    <w:rsid w:val="2EF06564"/>
    <w:rsid w:val="2F304982"/>
    <w:rsid w:val="2F724538"/>
    <w:rsid w:val="301B1F5D"/>
    <w:rsid w:val="301E1988"/>
    <w:rsid w:val="3058528B"/>
    <w:rsid w:val="30CC105E"/>
    <w:rsid w:val="30EE71C4"/>
    <w:rsid w:val="31D804B8"/>
    <w:rsid w:val="3262171C"/>
    <w:rsid w:val="32F86A57"/>
    <w:rsid w:val="33D75F09"/>
    <w:rsid w:val="33F03F01"/>
    <w:rsid w:val="342A3E8C"/>
    <w:rsid w:val="34330DD9"/>
    <w:rsid w:val="34634368"/>
    <w:rsid w:val="34AA01DC"/>
    <w:rsid w:val="34FE3C30"/>
    <w:rsid w:val="350F5212"/>
    <w:rsid w:val="351D2E33"/>
    <w:rsid w:val="352210FC"/>
    <w:rsid w:val="354202DB"/>
    <w:rsid w:val="355038A9"/>
    <w:rsid w:val="359D05B9"/>
    <w:rsid w:val="35A17702"/>
    <w:rsid w:val="367E42C7"/>
    <w:rsid w:val="36956B8C"/>
    <w:rsid w:val="371951A3"/>
    <w:rsid w:val="37EC1B56"/>
    <w:rsid w:val="38C954F8"/>
    <w:rsid w:val="3940059B"/>
    <w:rsid w:val="399827D5"/>
    <w:rsid w:val="3A025B8E"/>
    <w:rsid w:val="3A2154E4"/>
    <w:rsid w:val="3A401073"/>
    <w:rsid w:val="3A741987"/>
    <w:rsid w:val="3A8B3BFB"/>
    <w:rsid w:val="3ABF7DB8"/>
    <w:rsid w:val="3ADE136E"/>
    <w:rsid w:val="3B386425"/>
    <w:rsid w:val="3B9C63CC"/>
    <w:rsid w:val="3BE401DA"/>
    <w:rsid w:val="3CA02E52"/>
    <w:rsid w:val="3CC2593E"/>
    <w:rsid w:val="3D032D44"/>
    <w:rsid w:val="3E471DFD"/>
    <w:rsid w:val="3E6A1816"/>
    <w:rsid w:val="3F434A02"/>
    <w:rsid w:val="408753F4"/>
    <w:rsid w:val="408D10B1"/>
    <w:rsid w:val="40947325"/>
    <w:rsid w:val="40F405CC"/>
    <w:rsid w:val="40FA1029"/>
    <w:rsid w:val="41370768"/>
    <w:rsid w:val="415F76F8"/>
    <w:rsid w:val="416F6683"/>
    <w:rsid w:val="41A92C11"/>
    <w:rsid w:val="41D739A5"/>
    <w:rsid w:val="41DA6731"/>
    <w:rsid w:val="41DD004E"/>
    <w:rsid w:val="42044479"/>
    <w:rsid w:val="425F0F38"/>
    <w:rsid w:val="42AB75CB"/>
    <w:rsid w:val="42CE5FBB"/>
    <w:rsid w:val="42E90E20"/>
    <w:rsid w:val="43A0700B"/>
    <w:rsid w:val="44991AE0"/>
    <w:rsid w:val="44BD6023"/>
    <w:rsid w:val="44F778DB"/>
    <w:rsid w:val="45047CA4"/>
    <w:rsid w:val="451609AC"/>
    <w:rsid w:val="4594103F"/>
    <w:rsid w:val="45B4435C"/>
    <w:rsid w:val="45E83876"/>
    <w:rsid w:val="45EB52C6"/>
    <w:rsid w:val="46625BDF"/>
    <w:rsid w:val="46B94F03"/>
    <w:rsid w:val="47585D41"/>
    <w:rsid w:val="47631940"/>
    <w:rsid w:val="47762CA8"/>
    <w:rsid w:val="477A5D4D"/>
    <w:rsid w:val="47AC5CCC"/>
    <w:rsid w:val="47E37682"/>
    <w:rsid w:val="47E7403E"/>
    <w:rsid w:val="47F27979"/>
    <w:rsid w:val="480774F3"/>
    <w:rsid w:val="4845132D"/>
    <w:rsid w:val="48BB4465"/>
    <w:rsid w:val="49216DBC"/>
    <w:rsid w:val="49387F21"/>
    <w:rsid w:val="495124E6"/>
    <w:rsid w:val="49AA0AC7"/>
    <w:rsid w:val="49EC1694"/>
    <w:rsid w:val="4A471741"/>
    <w:rsid w:val="4A5A4710"/>
    <w:rsid w:val="4A6878E6"/>
    <w:rsid w:val="4AFD7FBC"/>
    <w:rsid w:val="4B035078"/>
    <w:rsid w:val="4B8B4FBF"/>
    <w:rsid w:val="4BE26612"/>
    <w:rsid w:val="4BFB6B1D"/>
    <w:rsid w:val="4C2B2CAD"/>
    <w:rsid w:val="4C4F679C"/>
    <w:rsid w:val="4C896196"/>
    <w:rsid w:val="4C9C3A47"/>
    <w:rsid w:val="4D2F7D3F"/>
    <w:rsid w:val="4D7654E0"/>
    <w:rsid w:val="4D8F6F14"/>
    <w:rsid w:val="4DBA4216"/>
    <w:rsid w:val="4DBC7557"/>
    <w:rsid w:val="4DCB35ED"/>
    <w:rsid w:val="4DCD55A0"/>
    <w:rsid w:val="4DE31008"/>
    <w:rsid w:val="4DF2602F"/>
    <w:rsid w:val="4E1B6A0B"/>
    <w:rsid w:val="4E221465"/>
    <w:rsid w:val="4E2F2DC0"/>
    <w:rsid w:val="4E3F35B1"/>
    <w:rsid w:val="4E5A5196"/>
    <w:rsid w:val="4ED423AE"/>
    <w:rsid w:val="4F40507F"/>
    <w:rsid w:val="4F610152"/>
    <w:rsid w:val="505428F3"/>
    <w:rsid w:val="505C0BA4"/>
    <w:rsid w:val="507207FA"/>
    <w:rsid w:val="507A6FBA"/>
    <w:rsid w:val="508C5689"/>
    <w:rsid w:val="508D5948"/>
    <w:rsid w:val="509846A9"/>
    <w:rsid w:val="50AA5D32"/>
    <w:rsid w:val="50BB7729"/>
    <w:rsid w:val="51B238F0"/>
    <w:rsid w:val="52294F82"/>
    <w:rsid w:val="52500057"/>
    <w:rsid w:val="526268DD"/>
    <w:rsid w:val="5274712B"/>
    <w:rsid w:val="5305453E"/>
    <w:rsid w:val="549473C0"/>
    <w:rsid w:val="54F40A45"/>
    <w:rsid w:val="55F82031"/>
    <w:rsid w:val="55F920FF"/>
    <w:rsid w:val="56464255"/>
    <w:rsid w:val="56D42649"/>
    <w:rsid w:val="56DB1E11"/>
    <w:rsid w:val="57432F4E"/>
    <w:rsid w:val="574B01B0"/>
    <w:rsid w:val="57B06DB9"/>
    <w:rsid w:val="57BE004A"/>
    <w:rsid w:val="58741402"/>
    <w:rsid w:val="593D73DB"/>
    <w:rsid w:val="59EA15B7"/>
    <w:rsid w:val="5A1E418A"/>
    <w:rsid w:val="5A532049"/>
    <w:rsid w:val="5A53598B"/>
    <w:rsid w:val="5A975B84"/>
    <w:rsid w:val="5BFD5AB5"/>
    <w:rsid w:val="5C5C782A"/>
    <w:rsid w:val="5CCA1527"/>
    <w:rsid w:val="5D95049A"/>
    <w:rsid w:val="5E6B43CE"/>
    <w:rsid w:val="5E923EC9"/>
    <w:rsid w:val="5F963482"/>
    <w:rsid w:val="5FA6139F"/>
    <w:rsid w:val="601B0AEB"/>
    <w:rsid w:val="60367908"/>
    <w:rsid w:val="604D0E43"/>
    <w:rsid w:val="60D713FC"/>
    <w:rsid w:val="611976DA"/>
    <w:rsid w:val="617A47CC"/>
    <w:rsid w:val="61C21FBF"/>
    <w:rsid w:val="62025FCA"/>
    <w:rsid w:val="62192F56"/>
    <w:rsid w:val="62262AD4"/>
    <w:rsid w:val="625231DF"/>
    <w:rsid w:val="62730DFD"/>
    <w:rsid w:val="6281495E"/>
    <w:rsid w:val="630B20F4"/>
    <w:rsid w:val="63193296"/>
    <w:rsid w:val="63287BC7"/>
    <w:rsid w:val="632F196D"/>
    <w:rsid w:val="634F7A07"/>
    <w:rsid w:val="63CF5FFF"/>
    <w:rsid w:val="6441191F"/>
    <w:rsid w:val="645B4479"/>
    <w:rsid w:val="64767A0B"/>
    <w:rsid w:val="64D946D3"/>
    <w:rsid w:val="6536531F"/>
    <w:rsid w:val="654E27FD"/>
    <w:rsid w:val="657A5127"/>
    <w:rsid w:val="659A2E3E"/>
    <w:rsid w:val="659D094E"/>
    <w:rsid w:val="65EF6D63"/>
    <w:rsid w:val="664B50DC"/>
    <w:rsid w:val="66517B3F"/>
    <w:rsid w:val="66B87BC6"/>
    <w:rsid w:val="66E32439"/>
    <w:rsid w:val="66E947A6"/>
    <w:rsid w:val="672732D6"/>
    <w:rsid w:val="6741510F"/>
    <w:rsid w:val="678F52EE"/>
    <w:rsid w:val="68EB201F"/>
    <w:rsid w:val="694226BD"/>
    <w:rsid w:val="69643B4A"/>
    <w:rsid w:val="69836F94"/>
    <w:rsid w:val="69A578E5"/>
    <w:rsid w:val="69C04ABB"/>
    <w:rsid w:val="69C949BD"/>
    <w:rsid w:val="69F936A0"/>
    <w:rsid w:val="69FB3CEA"/>
    <w:rsid w:val="6A5E4BBE"/>
    <w:rsid w:val="6AAC1985"/>
    <w:rsid w:val="6AC76ABF"/>
    <w:rsid w:val="6ACE4D37"/>
    <w:rsid w:val="6AE0698C"/>
    <w:rsid w:val="6B2D2DD1"/>
    <w:rsid w:val="6B4A2C69"/>
    <w:rsid w:val="6B715BA4"/>
    <w:rsid w:val="6B853A0B"/>
    <w:rsid w:val="6BCF16F1"/>
    <w:rsid w:val="6C907499"/>
    <w:rsid w:val="6C9932B3"/>
    <w:rsid w:val="6CB82799"/>
    <w:rsid w:val="6D3235AF"/>
    <w:rsid w:val="6D6605E1"/>
    <w:rsid w:val="6DB046C3"/>
    <w:rsid w:val="6DCA25A9"/>
    <w:rsid w:val="6E374AEF"/>
    <w:rsid w:val="6F0E64D5"/>
    <w:rsid w:val="6F763638"/>
    <w:rsid w:val="6F9D7484"/>
    <w:rsid w:val="6FEA7854"/>
    <w:rsid w:val="70352B2C"/>
    <w:rsid w:val="70844159"/>
    <w:rsid w:val="708C277D"/>
    <w:rsid w:val="70D03495"/>
    <w:rsid w:val="70D4483F"/>
    <w:rsid w:val="713978EF"/>
    <w:rsid w:val="7145584D"/>
    <w:rsid w:val="715B13F7"/>
    <w:rsid w:val="715E6C8D"/>
    <w:rsid w:val="718E6F68"/>
    <w:rsid w:val="71E23B38"/>
    <w:rsid w:val="72185F3B"/>
    <w:rsid w:val="72222730"/>
    <w:rsid w:val="727707D3"/>
    <w:rsid w:val="729344B0"/>
    <w:rsid w:val="72C568B4"/>
    <w:rsid w:val="72DB6001"/>
    <w:rsid w:val="7396760B"/>
    <w:rsid w:val="73B01C12"/>
    <w:rsid w:val="73B67AD5"/>
    <w:rsid w:val="73CD79E2"/>
    <w:rsid w:val="740E30C6"/>
    <w:rsid w:val="741115F7"/>
    <w:rsid w:val="7417414C"/>
    <w:rsid w:val="743F7715"/>
    <w:rsid w:val="74445220"/>
    <w:rsid w:val="74966354"/>
    <w:rsid w:val="74BA6964"/>
    <w:rsid w:val="74E710D7"/>
    <w:rsid w:val="759A3FB7"/>
    <w:rsid w:val="75C232CB"/>
    <w:rsid w:val="75D30060"/>
    <w:rsid w:val="760B591E"/>
    <w:rsid w:val="766A4803"/>
    <w:rsid w:val="76B1397B"/>
    <w:rsid w:val="76BA0270"/>
    <w:rsid w:val="76BF6564"/>
    <w:rsid w:val="76D161DE"/>
    <w:rsid w:val="773E5898"/>
    <w:rsid w:val="77667C2A"/>
    <w:rsid w:val="776D520A"/>
    <w:rsid w:val="790D447D"/>
    <w:rsid w:val="79341C63"/>
    <w:rsid w:val="79344E38"/>
    <w:rsid w:val="796462C2"/>
    <w:rsid w:val="79773D24"/>
    <w:rsid w:val="79822B8A"/>
    <w:rsid w:val="79897B01"/>
    <w:rsid w:val="7A32639B"/>
    <w:rsid w:val="7A495510"/>
    <w:rsid w:val="7A8F32F6"/>
    <w:rsid w:val="7AA97A9D"/>
    <w:rsid w:val="7ABD49D4"/>
    <w:rsid w:val="7AC06C49"/>
    <w:rsid w:val="7B524663"/>
    <w:rsid w:val="7B63246C"/>
    <w:rsid w:val="7B652FB5"/>
    <w:rsid w:val="7BAF350D"/>
    <w:rsid w:val="7BDA07A0"/>
    <w:rsid w:val="7C917E46"/>
    <w:rsid w:val="7D087766"/>
    <w:rsid w:val="7DA43BE7"/>
    <w:rsid w:val="7DF6307F"/>
    <w:rsid w:val="7E92744C"/>
    <w:rsid w:val="7EA979A6"/>
    <w:rsid w:val="7F642DE6"/>
    <w:rsid w:val="7FA51839"/>
    <w:rsid w:val="7FA746AC"/>
    <w:rsid w:val="7FB03193"/>
    <w:rsid w:val="7FFE44B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20"/>
    <w:qFormat/>
    <w:uiPriority w:val="1"/>
    <w:pPr>
      <w:autoSpaceDE w:val="0"/>
      <w:autoSpaceDN w:val="0"/>
      <w:adjustRightInd w:val="0"/>
      <w:spacing w:before="17"/>
      <w:ind w:left="1144"/>
      <w:jc w:val="left"/>
      <w:outlineLvl w:val="0"/>
    </w:pPr>
    <w:rPr>
      <w:rFonts w:ascii="黑体" w:hAnsi="Times New Roman" w:eastAsia="黑体"/>
      <w:b/>
      <w:bCs/>
      <w:kern w:val="0"/>
      <w:sz w:val="36"/>
      <w:szCs w:val="36"/>
    </w:rPr>
  </w:style>
  <w:style w:type="paragraph" w:styleId="4">
    <w:name w:val="heading 2"/>
    <w:basedOn w:val="1"/>
    <w:next w:val="1"/>
    <w:link w:val="21"/>
    <w:qFormat/>
    <w:uiPriority w:val="9"/>
    <w:pPr>
      <w:keepNext/>
      <w:keepLines/>
      <w:spacing w:before="260" w:after="260" w:line="416" w:lineRule="auto"/>
      <w:outlineLvl w:val="1"/>
    </w:pPr>
    <w:rPr>
      <w:rFonts w:ascii="Cambria" w:hAnsi="Cambria"/>
      <w:b/>
      <w:bCs/>
      <w:kern w:val="0"/>
      <w:sz w:val="32"/>
      <w:szCs w:val="32"/>
    </w:rPr>
  </w:style>
  <w:style w:type="paragraph" w:styleId="5">
    <w:name w:val="heading 3"/>
    <w:basedOn w:val="1"/>
    <w:next w:val="1"/>
    <w:link w:val="22"/>
    <w:qFormat/>
    <w:uiPriority w:val="1"/>
    <w:pPr>
      <w:autoSpaceDE w:val="0"/>
      <w:autoSpaceDN w:val="0"/>
      <w:adjustRightInd w:val="0"/>
      <w:spacing w:before="34"/>
      <w:ind w:left="120"/>
      <w:jc w:val="left"/>
      <w:outlineLvl w:val="2"/>
    </w:pPr>
    <w:rPr>
      <w:rFonts w:ascii="宋体" w:hAnsi="Times New Roman"/>
      <w:b/>
      <w:bCs/>
      <w:kern w:val="0"/>
      <w:sz w:val="20"/>
      <w:szCs w:val="21"/>
    </w:rPr>
  </w:style>
  <w:style w:type="character" w:default="1" w:styleId="15">
    <w:name w:val="Default Paragraph Font"/>
    <w:unhideWhenUsed/>
    <w:qFormat/>
    <w:uiPriority w:val="1"/>
  </w:style>
  <w:style w:type="table" w:default="1" w:styleId="13">
    <w:name w:val="Normal Table"/>
    <w:unhideWhenUsed/>
    <w:qFormat/>
    <w:uiPriority w:val="99"/>
    <w:tblPr>
      <w:tblCellMar>
        <w:top w:w="0" w:type="dxa"/>
        <w:left w:w="108" w:type="dxa"/>
        <w:bottom w:w="0" w:type="dxa"/>
        <w:right w:w="108" w:type="dxa"/>
      </w:tblCellMar>
    </w:tblPr>
  </w:style>
  <w:style w:type="paragraph" w:styleId="2">
    <w:name w:val="Body Text"/>
    <w:basedOn w:val="1"/>
    <w:next w:val="1"/>
    <w:link w:val="19"/>
    <w:qFormat/>
    <w:uiPriority w:val="1"/>
    <w:pPr>
      <w:autoSpaceDE w:val="0"/>
      <w:autoSpaceDN w:val="0"/>
      <w:adjustRightInd w:val="0"/>
      <w:spacing w:before="162"/>
      <w:ind w:left="120"/>
      <w:jc w:val="left"/>
    </w:pPr>
    <w:rPr>
      <w:rFonts w:ascii="宋体" w:hAnsi="Times New Roman"/>
      <w:kern w:val="0"/>
      <w:sz w:val="20"/>
      <w:szCs w:val="21"/>
    </w:rPr>
  </w:style>
  <w:style w:type="paragraph" w:styleId="6">
    <w:name w:val="annotation text"/>
    <w:basedOn w:val="1"/>
    <w:link w:val="23"/>
    <w:unhideWhenUsed/>
    <w:qFormat/>
    <w:uiPriority w:val="99"/>
    <w:pPr>
      <w:jc w:val="left"/>
    </w:pPr>
  </w:style>
  <w:style w:type="paragraph" w:styleId="7">
    <w:name w:val="Date"/>
    <w:basedOn w:val="1"/>
    <w:next w:val="1"/>
    <w:link w:val="24"/>
    <w:unhideWhenUsed/>
    <w:qFormat/>
    <w:uiPriority w:val="99"/>
    <w:pPr>
      <w:ind w:left="100" w:leftChars="2500"/>
    </w:pPr>
  </w:style>
  <w:style w:type="paragraph" w:styleId="8">
    <w:name w:val="Balloon Text"/>
    <w:basedOn w:val="1"/>
    <w:link w:val="25"/>
    <w:unhideWhenUsed/>
    <w:qFormat/>
    <w:uiPriority w:val="99"/>
    <w:rPr>
      <w:kern w:val="0"/>
      <w:sz w:val="18"/>
      <w:szCs w:val="18"/>
    </w:rPr>
  </w:style>
  <w:style w:type="paragraph" w:styleId="9">
    <w:name w:val="footer"/>
    <w:basedOn w:val="1"/>
    <w:link w:val="26"/>
    <w:unhideWhenUsed/>
    <w:qFormat/>
    <w:uiPriority w:val="99"/>
    <w:pPr>
      <w:tabs>
        <w:tab w:val="center" w:pos="4153"/>
        <w:tab w:val="right" w:pos="8306"/>
      </w:tabs>
      <w:snapToGrid w:val="0"/>
      <w:jc w:val="left"/>
    </w:pPr>
    <w:rPr>
      <w:kern w:val="0"/>
      <w:sz w:val="18"/>
      <w:szCs w:val="18"/>
    </w:rPr>
  </w:style>
  <w:style w:type="paragraph" w:styleId="10">
    <w:name w:val="header"/>
    <w:basedOn w:val="1"/>
    <w:link w:val="27"/>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2">
    <w:name w:val="annotation subject"/>
    <w:basedOn w:val="6"/>
    <w:next w:val="6"/>
    <w:link w:val="28"/>
    <w:unhideWhenUsed/>
    <w:qFormat/>
    <w:uiPriority w:val="99"/>
    <w:rPr>
      <w:b/>
      <w:bCs/>
    </w:rPr>
  </w:style>
  <w:style w:type="table" w:styleId="14">
    <w:name w:val="Table Grid"/>
    <w:basedOn w:val="13"/>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qFormat/>
    <w:uiPriority w:val="22"/>
    <w:rPr>
      <w:b/>
      <w:bCs/>
    </w:rPr>
  </w:style>
  <w:style w:type="character" w:styleId="17">
    <w:name w:val="Hyperlink"/>
    <w:unhideWhenUsed/>
    <w:qFormat/>
    <w:uiPriority w:val="99"/>
    <w:rPr>
      <w:color w:val="0000FF"/>
      <w:u w:val="single"/>
    </w:rPr>
  </w:style>
  <w:style w:type="character" w:styleId="18">
    <w:name w:val="annotation reference"/>
    <w:unhideWhenUsed/>
    <w:qFormat/>
    <w:uiPriority w:val="99"/>
    <w:rPr>
      <w:sz w:val="21"/>
      <w:szCs w:val="21"/>
    </w:rPr>
  </w:style>
  <w:style w:type="character" w:customStyle="1" w:styleId="19">
    <w:name w:val="正文文本 Char"/>
    <w:link w:val="2"/>
    <w:qFormat/>
    <w:uiPriority w:val="1"/>
    <w:rPr>
      <w:rFonts w:ascii="宋体" w:hAnsi="Times New Roman" w:eastAsia="宋体" w:cs="宋体"/>
      <w:kern w:val="0"/>
      <w:szCs w:val="21"/>
    </w:rPr>
  </w:style>
  <w:style w:type="character" w:customStyle="1" w:styleId="20">
    <w:name w:val="标题 1 Char"/>
    <w:link w:val="3"/>
    <w:qFormat/>
    <w:uiPriority w:val="1"/>
    <w:rPr>
      <w:rFonts w:ascii="黑体" w:hAnsi="Times New Roman" w:eastAsia="黑体" w:cs="黑体"/>
      <w:b/>
      <w:bCs/>
      <w:kern w:val="0"/>
      <w:sz w:val="36"/>
      <w:szCs w:val="36"/>
    </w:rPr>
  </w:style>
  <w:style w:type="character" w:customStyle="1" w:styleId="21">
    <w:name w:val="标题 2 Char"/>
    <w:link w:val="4"/>
    <w:qFormat/>
    <w:uiPriority w:val="9"/>
    <w:rPr>
      <w:rFonts w:ascii="Cambria" w:hAnsi="Cambria" w:eastAsia="宋体" w:cs="Times New Roman"/>
      <w:b/>
      <w:bCs/>
      <w:sz w:val="32"/>
      <w:szCs w:val="32"/>
    </w:rPr>
  </w:style>
  <w:style w:type="character" w:customStyle="1" w:styleId="22">
    <w:name w:val="标题 3 Char"/>
    <w:link w:val="5"/>
    <w:qFormat/>
    <w:uiPriority w:val="1"/>
    <w:rPr>
      <w:rFonts w:ascii="宋体" w:hAnsi="Times New Roman" w:eastAsia="宋体" w:cs="宋体"/>
      <w:b/>
      <w:bCs/>
      <w:kern w:val="0"/>
      <w:szCs w:val="21"/>
    </w:rPr>
  </w:style>
  <w:style w:type="character" w:customStyle="1" w:styleId="23">
    <w:name w:val="批注文字 Char"/>
    <w:link w:val="6"/>
    <w:qFormat/>
    <w:uiPriority w:val="99"/>
    <w:rPr>
      <w:kern w:val="2"/>
      <w:sz w:val="21"/>
      <w:szCs w:val="22"/>
    </w:rPr>
  </w:style>
  <w:style w:type="character" w:customStyle="1" w:styleId="24">
    <w:name w:val="日期 Char"/>
    <w:basedOn w:val="15"/>
    <w:link w:val="7"/>
    <w:semiHidden/>
    <w:qFormat/>
    <w:uiPriority w:val="99"/>
  </w:style>
  <w:style w:type="character" w:customStyle="1" w:styleId="25">
    <w:name w:val="批注框文本 Char"/>
    <w:link w:val="8"/>
    <w:semiHidden/>
    <w:qFormat/>
    <w:uiPriority w:val="99"/>
    <w:rPr>
      <w:sz w:val="18"/>
      <w:szCs w:val="18"/>
    </w:rPr>
  </w:style>
  <w:style w:type="character" w:customStyle="1" w:styleId="26">
    <w:name w:val="页脚 Char"/>
    <w:link w:val="9"/>
    <w:qFormat/>
    <w:uiPriority w:val="99"/>
    <w:rPr>
      <w:sz w:val="18"/>
      <w:szCs w:val="18"/>
    </w:rPr>
  </w:style>
  <w:style w:type="character" w:customStyle="1" w:styleId="27">
    <w:name w:val="页眉 Char"/>
    <w:link w:val="10"/>
    <w:qFormat/>
    <w:uiPriority w:val="99"/>
    <w:rPr>
      <w:sz w:val="18"/>
      <w:szCs w:val="18"/>
    </w:rPr>
  </w:style>
  <w:style w:type="character" w:customStyle="1" w:styleId="28">
    <w:name w:val="批注主题 Char"/>
    <w:link w:val="12"/>
    <w:semiHidden/>
    <w:qFormat/>
    <w:uiPriority w:val="99"/>
    <w:rPr>
      <w:b/>
      <w:bCs/>
      <w:kern w:val="2"/>
      <w:sz w:val="21"/>
      <w:szCs w:val="22"/>
    </w:rPr>
  </w:style>
  <w:style w:type="paragraph" w:styleId="29">
    <w:name w:val="List Paragraph"/>
    <w:basedOn w:val="1"/>
    <w:qFormat/>
    <w:uiPriority w:val="72"/>
    <w:pPr>
      <w:ind w:firstLine="420" w:firstLineChars="200"/>
    </w:pPr>
  </w:style>
  <w:style w:type="paragraph" w:customStyle="1" w:styleId="30">
    <w:name w:val="Table Paragraph"/>
    <w:basedOn w:val="1"/>
    <w:qFormat/>
    <w:uiPriority w:val="1"/>
    <w:pPr>
      <w:autoSpaceDE w:val="0"/>
      <w:autoSpaceDN w:val="0"/>
      <w:adjustRightInd w:val="0"/>
      <w:jc w:val="left"/>
    </w:pPr>
    <w:rPr>
      <w:rFonts w:ascii="Times New Roman" w:hAnsi="Times New Roman" w:cs="Times New Roman"/>
      <w:kern w:val="0"/>
      <w:sz w:val="24"/>
      <w:szCs w:val="24"/>
    </w:rPr>
  </w:style>
  <w:style w:type="paragraph" w:customStyle="1" w:styleId="31">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customStyle="1" w:styleId="32">
    <w:name w:val="_Style 31"/>
    <w:semiHidden/>
    <w:qFormat/>
    <w:uiPriority w:val="99"/>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2009</Words>
  <Characters>2336</Characters>
  <Lines>2</Lines>
  <Paragraphs>1</Paragraphs>
  <TotalTime>21</TotalTime>
  <ScaleCrop>false</ScaleCrop>
  <LinksUpToDate>false</LinksUpToDate>
  <CharactersWithSpaces>2359</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2021-11-27T07:26:00Z</dcterms:created>
  <dc:creator>JSYH</dc:creator>
  <cp:lastModifiedBy>jsyh</cp:lastModifiedBy>
  <cp:lastPrinted>2024-04-16T11:20:00Z</cp:lastPrinted>
  <dcterms:modified xsi:type="dcterms:W3CDTF">2025-10-16T07:23:36Z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ies>
</file>