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楷体" w:hAnsi="楷体" w:eastAsia="楷体"/>
          <w:b/>
          <w:sz w:val="36"/>
          <w:szCs w:val="36"/>
        </w:rPr>
      </w:pPr>
      <w:r>
        <w:rPr>
          <w:rFonts w:hint="eastAsia" w:ascii="楷体" w:hAnsi="楷体" w:eastAsia="楷体"/>
          <w:b/>
          <w:sz w:val="36"/>
          <w:szCs w:val="36"/>
        </w:rPr>
        <w:t>关于调整“苏银理财恒源</w:t>
      </w:r>
      <w:r>
        <w:rPr>
          <w:rFonts w:hint="eastAsia" w:ascii="楷体" w:hAnsi="楷体" w:eastAsia="楷体"/>
          <w:b/>
          <w:sz w:val="36"/>
          <w:szCs w:val="36"/>
          <w:lang w:val="en-US" w:eastAsia="zh-CN"/>
        </w:rPr>
        <w:t>季开放5号</w:t>
      </w:r>
      <w:r>
        <w:rPr>
          <w:rFonts w:hint="eastAsia" w:ascii="楷体" w:hAnsi="楷体" w:eastAsia="楷体"/>
          <w:b/>
          <w:sz w:val="36"/>
          <w:szCs w:val="36"/>
        </w:rPr>
        <w:t xml:space="preserve">” </w:t>
      </w:r>
    </w:p>
    <w:p>
      <w:pPr>
        <w:jc w:val="center"/>
        <w:outlineLvl w:val="0"/>
        <w:rPr>
          <w:rFonts w:hint="eastAsia" w:ascii="楷体" w:hAnsi="楷体" w:eastAsia="楷体"/>
          <w:b/>
          <w:kern w:val="0"/>
          <w:sz w:val="36"/>
          <w:szCs w:val="36"/>
        </w:rPr>
      </w:pPr>
      <w:r>
        <w:rPr>
          <w:rFonts w:hint="eastAsia" w:ascii="楷体" w:hAnsi="楷体" w:eastAsia="楷体"/>
          <w:b/>
          <w:sz w:val="36"/>
          <w:szCs w:val="36"/>
        </w:rPr>
        <w:t>理财产品要素的公告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rPr>
          <w:rFonts w:hint="eastAsia" w:ascii="楷体" w:hAnsi="楷体" w:eastAsia="楷体" w:cs="Times New Roman"/>
          <w:sz w:val="28"/>
          <w:szCs w:val="28"/>
          <w:lang w:val="en-US" w:eastAsia="zh-CN"/>
        </w:rPr>
      </w:pPr>
      <w:r>
        <w:rPr>
          <w:rFonts w:hint="eastAsia"/>
          <w:lang w:val="en-US" w:eastAsia="zh-CN"/>
        </w:rPr>
        <w:t xml:space="preserve">    </w:t>
      </w:r>
      <w:r>
        <w:rPr>
          <w:rFonts w:hint="eastAsia" w:ascii="楷体" w:hAnsi="楷体" w:eastAsia="楷体" w:cs="Times New Roman"/>
          <w:sz w:val="28"/>
          <w:szCs w:val="28"/>
          <w:lang w:val="en-US" w:eastAsia="zh-CN"/>
        </w:rPr>
        <w:t xml:space="preserve"> 管理人拟对“苏银理财恒源季开放5号”理财产品部分要素进行调整，具体如下：</w:t>
      </w:r>
    </w:p>
    <w:p>
      <w:pPr>
        <w:pStyle w:val="2"/>
        <w:ind w:firstLine="562" w:firstLineChars="200"/>
        <w:rPr>
          <w:rFonts w:hint="default"/>
          <w:b/>
          <w:bCs/>
          <w:lang w:val="en-US" w:eastAsia="zh-CN"/>
        </w:rPr>
      </w:pPr>
      <w:r>
        <w:rPr>
          <w:rFonts w:hint="eastAsia" w:ascii="楷体" w:hAnsi="楷体" w:eastAsia="楷体" w:cs="Times New Roman"/>
          <w:b/>
          <w:bCs/>
          <w:sz w:val="28"/>
          <w:szCs w:val="28"/>
          <w:lang w:val="en-US" w:eastAsia="zh-CN"/>
        </w:rPr>
        <w:t>一、销售对象调整</w:t>
      </w:r>
    </w:p>
    <w:tbl>
      <w:tblPr>
        <w:tblStyle w:val="14"/>
        <w:tblW w:w="8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732"/>
        <w:gridCol w:w="3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732"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销售对象</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p>
        </w:tc>
        <w:tc>
          <w:tcPr>
            <w:tcW w:w="3027"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销售对象</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2"/>
                <w:sz w:val="32"/>
                <w:szCs w:val="32"/>
                <w:lang w:val="en-US" w:eastAsia="zh-CN" w:bidi="ar-SA"/>
              </w:rPr>
            </w:pPr>
            <w:r>
              <w:rPr>
                <w:rFonts w:hint="eastAsia" w:ascii="楷体" w:hAnsi="楷体" w:eastAsia="楷体" w:cs="楷体"/>
                <w:i w:val="0"/>
                <w:color w:val="000000"/>
                <w:kern w:val="0"/>
                <w:sz w:val="24"/>
                <w:szCs w:val="24"/>
                <w:u w:val="none"/>
                <w:lang w:val="en-US" w:eastAsia="zh-CN" w:bidi="ar"/>
              </w:rPr>
              <w:t>苏银理财恒源季开放5号E</w:t>
            </w:r>
          </w:p>
        </w:tc>
        <w:tc>
          <w:tcPr>
            <w:tcW w:w="119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32"/>
                <w:szCs w:val="32"/>
                <w:u w:val="none"/>
                <w:lang w:val="en-US" w:eastAsia="zh-CN" w:bidi="ar"/>
              </w:rPr>
            </w:pPr>
            <w:r>
              <w:rPr>
                <w:rFonts w:hint="eastAsia" w:ascii="楷体" w:hAnsi="楷体" w:eastAsia="楷体" w:cs="楷体"/>
                <w:i w:val="0"/>
                <w:iCs w:val="0"/>
                <w:color w:val="000000"/>
                <w:kern w:val="0"/>
                <w:sz w:val="24"/>
                <w:szCs w:val="24"/>
                <w:u w:val="none"/>
                <w:lang w:val="en-US" w:eastAsia="zh-CN" w:bidi="ar"/>
              </w:rPr>
              <w:t>J02549</w:t>
            </w:r>
          </w:p>
        </w:tc>
        <w:tc>
          <w:tcPr>
            <w:tcW w:w="2732"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rPr>
              <w:t>面向</w:t>
            </w:r>
            <w:r>
              <w:rPr>
                <w:rFonts w:hint="eastAsia" w:ascii="楷体" w:hAnsi="楷体" w:eastAsia="楷体" w:cs="宋体"/>
                <w:spacing w:val="-2"/>
                <w:sz w:val="21"/>
                <w:szCs w:val="21"/>
                <w:highlight w:val="none"/>
              </w:rPr>
              <w:t>个人</w:t>
            </w:r>
            <w:r>
              <w:rPr>
                <w:rFonts w:hint="eastAsia" w:ascii="楷体" w:hAnsi="楷体" w:eastAsia="楷体" w:cs="宋体"/>
                <w:spacing w:val="-2"/>
                <w:sz w:val="21"/>
                <w:szCs w:val="21"/>
                <w:highlight w:val="none"/>
                <w:lang w:val="en-US" w:eastAsia="zh-CN"/>
              </w:rPr>
              <w:t>和机构</w:t>
            </w:r>
            <w:r>
              <w:rPr>
                <w:rFonts w:hint="eastAsia" w:ascii="楷体" w:hAnsi="楷体" w:eastAsia="楷体" w:cs="宋体"/>
                <w:spacing w:val="-2"/>
                <w:sz w:val="21"/>
                <w:szCs w:val="21"/>
                <w:highlight w:val="none"/>
              </w:rPr>
              <w:t>投资者销售</w:t>
            </w:r>
            <w:r>
              <w:rPr>
                <w:rFonts w:hint="eastAsia" w:ascii="楷体" w:hAnsi="楷体" w:eastAsia="楷体" w:cs="宋体"/>
                <w:spacing w:val="-2"/>
                <w:sz w:val="21"/>
                <w:szCs w:val="21"/>
              </w:rPr>
              <w:t>（销售机构江苏银行</w:t>
            </w:r>
            <w:r>
              <w:rPr>
                <w:rFonts w:hint="eastAsia" w:ascii="楷体" w:hAnsi="楷体" w:eastAsia="楷体" w:cs="宋体"/>
                <w:spacing w:val="-2"/>
                <w:sz w:val="21"/>
                <w:szCs w:val="21"/>
                <w:lang w:val="en-US" w:eastAsia="zh-CN"/>
              </w:rPr>
              <w:t>个人投资者</w:t>
            </w:r>
            <w:r>
              <w:rPr>
                <w:rFonts w:hint="eastAsia" w:ascii="楷体" w:hAnsi="楷体" w:eastAsia="楷体" w:cs="宋体"/>
                <w:spacing w:val="-2"/>
                <w:sz w:val="21"/>
                <w:szCs w:val="21"/>
              </w:rPr>
              <w:t>仅限私行客户购买</w:t>
            </w:r>
            <w:r>
              <w:rPr>
                <w:rFonts w:hint="eastAsia" w:ascii="楷体" w:hAnsi="楷体" w:eastAsia="楷体" w:cs="宋体"/>
                <w:spacing w:val="-2"/>
                <w:sz w:val="21"/>
                <w:szCs w:val="21"/>
                <w:highlight w:val="none"/>
                <w:lang w:val="en-US" w:eastAsia="zh-CN"/>
              </w:rPr>
              <w:t>。</w:t>
            </w:r>
            <w:r>
              <w:rPr>
                <w:rFonts w:hint="eastAsia" w:ascii="楷体" w:hAnsi="楷体" w:eastAsia="楷体" w:cs="宋体"/>
                <w:spacing w:val="-2"/>
                <w:sz w:val="21"/>
                <w:szCs w:val="21"/>
              </w:rPr>
              <w:t>江苏银行私行客户指在江苏银行日均资产大于等于600万元的个人客户）</w:t>
            </w:r>
          </w:p>
        </w:tc>
        <w:tc>
          <w:tcPr>
            <w:tcW w:w="3027"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sz w:val="21"/>
                <w:szCs w:val="21"/>
                <w:lang w:val="en-US" w:eastAsia="zh-CN"/>
              </w:rPr>
            </w:pPr>
            <w:r>
              <w:rPr>
                <w:rFonts w:hint="eastAsia" w:ascii="楷体" w:hAnsi="楷体" w:eastAsia="楷体" w:cs="宋体"/>
                <w:spacing w:val="-2"/>
                <w:sz w:val="21"/>
                <w:szCs w:val="21"/>
                <w:lang w:val="en-US" w:eastAsia="zh-CN"/>
              </w:rPr>
              <w:t>面向</w:t>
            </w:r>
            <w:r>
              <w:rPr>
                <w:rFonts w:hint="eastAsia" w:ascii="楷体" w:hAnsi="楷体" w:eastAsia="楷体" w:cs="宋体"/>
                <w:spacing w:val="-2"/>
                <w:sz w:val="21"/>
                <w:szCs w:val="21"/>
              </w:rPr>
              <w:t>个人和机构投资者销售</w:t>
            </w:r>
          </w:p>
        </w:tc>
      </w:tr>
    </w:tbl>
    <w:p>
      <w:pPr>
        <w:pStyle w:val="2"/>
        <w:numPr>
          <w:ilvl w:val="0"/>
          <w:numId w:val="1"/>
        </w:numPr>
        <w:ind w:firstLine="562" w:firstLineChars="200"/>
        <w:rPr>
          <w:rFonts w:hint="eastAsia"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销售起点/追加金额调整</w:t>
      </w:r>
    </w:p>
    <w:tbl>
      <w:tblPr>
        <w:tblStyle w:val="14"/>
        <w:tblW w:w="8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936"/>
        <w:gridCol w:w="2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936"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销售起点/追加金额</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p>
        </w:tc>
        <w:tc>
          <w:tcPr>
            <w:tcW w:w="2864"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销售起点/追加金额</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楷体"/>
                <w:i w:val="0"/>
                <w:color w:val="000000"/>
                <w:kern w:val="0"/>
                <w:sz w:val="24"/>
                <w:szCs w:val="24"/>
                <w:u w:val="none"/>
                <w:lang w:val="en-US" w:eastAsia="zh-CN" w:bidi="ar"/>
              </w:rPr>
              <w:t>苏银理财恒源季开放5号D</w:t>
            </w:r>
          </w:p>
        </w:tc>
        <w:tc>
          <w:tcPr>
            <w:tcW w:w="1195" w:type="dxa"/>
            <w:noWrap w:val="0"/>
            <w:vAlign w:val="center"/>
          </w:tcPr>
          <w:p>
            <w:pPr>
              <w:keepNext w:val="0"/>
              <w:keepLines w:val="0"/>
              <w:widowControl/>
              <w:suppressLineNumbers w:val="0"/>
              <w:jc w:val="center"/>
              <w:textAlignment w:val="center"/>
              <w:rPr>
                <w:rFonts w:hint="default" w:ascii="楷体" w:hAnsi="楷体" w:eastAsia="楷体" w:cs="Times New Roman"/>
                <w:kern w:val="0"/>
                <w:sz w:val="28"/>
                <w:szCs w:val="28"/>
                <w:lang w:val="en-US" w:eastAsia="zh-CN" w:bidi="ar-SA"/>
              </w:rPr>
            </w:pPr>
            <w:r>
              <w:rPr>
                <w:rFonts w:hint="eastAsia" w:ascii="楷体" w:hAnsi="楷体" w:eastAsia="楷体" w:cs="楷体"/>
                <w:i w:val="0"/>
                <w:iCs w:val="0"/>
                <w:color w:val="000000"/>
                <w:kern w:val="0"/>
                <w:sz w:val="24"/>
                <w:szCs w:val="24"/>
                <w:u w:val="none"/>
                <w:lang w:val="en-US" w:eastAsia="zh-CN" w:bidi="ar"/>
              </w:rPr>
              <w:t>J01584</w:t>
            </w:r>
          </w:p>
        </w:tc>
        <w:tc>
          <w:tcPr>
            <w:tcW w:w="2936"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default" w:ascii="楷体" w:hAnsi="楷体" w:eastAsia="楷体" w:cs="Times New Roman"/>
                <w:kern w:val="0"/>
                <w:sz w:val="24"/>
                <w:szCs w:val="24"/>
                <w:lang w:val="en-US" w:eastAsia="zh-CN" w:bidi="ar-SA"/>
              </w:rPr>
            </w:pPr>
            <w:r>
              <w:rPr>
                <w:rFonts w:hint="eastAsia" w:ascii="楷体" w:hAnsi="楷体" w:eastAsia="楷体" w:cs="宋体"/>
                <w:spacing w:val="-2"/>
                <w:sz w:val="21"/>
                <w:szCs w:val="21"/>
                <w:highlight w:val="none"/>
              </w:rPr>
              <w:t>个人投资者认购起点50万元，追加金额为1万元的整数倍；机构投资者认购起点5000万元，追加金额为1万元的整数倍。</w:t>
            </w:r>
          </w:p>
        </w:tc>
        <w:tc>
          <w:tcPr>
            <w:tcW w:w="2864"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Times New Roman"/>
                <w:kern w:val="0"/>
                <w:sz w:val="24"/>
                <w:szCs w:val="24"/>
                <w:lang w:val="en-US" w:eastAsia="zh-CN" w:bidi="ar-SA"/>
              </w:rPr>
            </w:pPr>
            <w:r>
              <w:rPr>
                <w:rFonts w:hint="eastAsia" w:ascii="楷体" w:hAnsi="楷体" w:eastAsia="楷体" w:cs="宋体"/>
                <w:spacing w:val="-2"/>
                <w:sz w:val="21"/>
                <w:szCs w:val="21"/>
                <w:highlight w:val="none"/>
              </w:rPr>
              <w:t>个人投资者认购起点50万元，追加金额为1万元的整数倍；机构投资者认购起点</w:t>
            </w:r>
            <w:r>
              <w:rPr>
                <w:rFonts w:hint="eastAsia" w:ascii="楷体" w:hAnsi="楷体" w:eastAsia="楷体" w:cs="宋体"/>
                <w:spacing w:val="-2"/>
                <w:sz w:val="21"/>
                <w:szCs w:val="21"/>
                <w:highlight w:val="none"/>
                <w:lang w:val="en-US" w:eastAsia="zh-CN"/>
              </w:rPr>
              <w:t>3</w:t>
            </w:r>
            <w:r>
              <w:rPr>
                <w:rFonts w:hint="eastAsia" w:ascii="楷体" w:hAnsi="楷体" w:eastAsia="楷体" w:cs="宋体"/>
                <w:spacing w:val="-2"/>
                <w:sz w:val="21"/>
                <w:szCs w:val="21"/>
                <w:highlight w:val="none"/>
              </w:rPr>
              <w:t>000万元，追加金额为1万元的整数倍。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苏银理财恒源季开放5号E</w:t>
            </w:r>
          </w:p>
        </w:tc>
        <w:tc>
          <w:tcPr>
            <w:tcW w:w="1195" w:type="dxa"/>
            <w:noWrap w:val="0"/>
            <w:vAlign w:val="center"/>
          </w:tcPr>
          <w:p>
            <w:pPr>
              <w:keepNext w:val="0"/>
              <w:keepLines w:val="0"/>
              <w:widowControl/>
              <w:suppressLineNumbers w:val="0"/>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J02549</w:t>
            </w:r>
          </w:p>
        </w:tc>
        <w:tc>
          <w:tcPr>
            <w:tcW w:w="2936"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rPr>
              <w:t>认购起点</w:t>
            </w:r>
            <w:r>
              <w:rPr>
                <w:rFonts w:hint="eastAsia" w:ascii="楷体" w:hAnsi="楷体" w:eastAsia="楷体" w:cs="宋体"/>
                <w:spacing w:val="-2"/>
                <w:sz w:val="21"/>
                <w:szCs w:val="21"/>
                <w:highlight w:val="none"/>
                <w:lang w:val="en-US" w:eastAsia="zh-CN"/>
              </w:rPr>
              <w:t>10</w:t>
            </w:r>
            <w:r>
              <w:rPr>
                <w:rFonts w:hint="eastAsia" w:ascii="楷体" w:hAnsi="楷体" w:eastAsia="楷体" w:cs="宋体"/>
                <w:spacing w:val="-2"/>
                <w:sz w:val="21"/>
                <w:szCs w:val="21"/>
                <w:highlight w:val="none"/>
              </w:rPr>
              <w:t>0万元，追加金额为1万元的整数倍</w:t>
            </w:r>
            <w:r>
              <w:rPr>
                <w:rFonts w:hint="eastAsia" w:ascii="楷体" w:hAnsi="楷体" w:eastAsia="楷体" w:cs="宋体"/>
                <w:spacing w:val="-2"/>
                <w:sz w:val="21"/>
                <w:szCs w:val="21"/>
                <w:highlight w:val="none"/>
                <w:lang w:eastAsia="zh-CN"/>
              </w:rPr>
              <w:t>。</w:t>
            </w:r>
          </w:p>
        </w:tc>
        <w:tc>
          <w:tcPr>
            <w:tcW w:w="2864" w:type="dxa"/>
            <w:noWrap w:val="0"/>
            <w:vAlign w:val="center"/>
          </w:tcPr>
          <w:p>
            <w:pPr>
              <w:keepNext w:val="0"/>
              <w:keepLines w:val="0"/>
              <w:pageBreakBefore w:val="0"/>
              <w:widowControl/>
              <w:kinsoku/>
              <w:wordWrap/>
              <w:overflowPunct/>
              <w:topLinePunct w:val="0"/>
              <w:autoSpaceDE/>
              <w:autoSpaceDN/>
              <w:bidi w:val="0"/>
              <w:adjustRightInd/>
              <w:snapToGrid/>
              <w:jc w:val="center"/>
              <w:textAlignment w:val="center"/>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认购起点</w:t>
            </w:r>
            <w:r>
              <w:rPr>
                <w:rFonts w:hint="eastAsia" w:ascii="楷体" w:hAnsi="楷体" w:eastAsia="楷体" w:cs="宋体"/>
                <w:spacing w:val="-2"/>
                <w:sz w:val="21"/>
                <w:szCs w:val="21"/>
                <w:highlight w:val="none"/>
                <w:lang w:val="en-US" w:eastAsia="zh-CN"/>
              </w:rPr>
              <w:t>2</w:t>
            </w:r>
            <w:r>
              <w:rPr>
                <w:rFonts w:hint="eastAsia" w:ascii="楷体" w:hAnsi="楷体" w:eastAsia="楷体" w:cs="宋体"/>
                <w:spacing w:val="-2"/>
                <w:sz w:val="21"/>
                <w:szCs w:val="21"/>
                <w:highlight w:val="none"/>
              </w:rPr>
              <w:t>0万元，追加金额为1万元的整数倍</w:t>
            </w:r>
            <w:r>
              <w:rPr>
                <w:rFonts w:hint="eastAsia" w:ascii="楷体" w:hAnsi="楷体" w:eastAsia="楷体" w:cs="宋体"/>
                <w:spacing w:val="-2"/>
                <w:sz w:val="21"/>
                <w:szCs w:val="21"/>
                <w:highlight w:val="none"/>
                <w:lang w:eastAsia="zh-CN"/>
              </w:rPr>
              <w:t>。</w:t>
            </w:r>
          </w:p>
        </w:tc>
      </w:tr>
    </w:tbl>
    <w:p>
      <w:pPr>
        <w:pStyle w:val="2"/>
        <w:numPr>
          <w:ilvl w:val="0"/>
          <w:numId w:val="1"/>
        </w:numPr>
        <w:ind w:firstLine="562" w:firstLineChars="200"/>
        <w:rPr>
          <w:rFonts w:hint="default"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说明书费用调整</w:t>
      </w:r>
    </w:p>
    <w:tbl>
      <w:tblPr>
        <w:tblStyle w:val="14"/>
        <w:tblW w:w="8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732"/>
        <w:gridCol w:w="3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732"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vertAlign w:val="baseline"/>
                <w:lang w:val="en-US" w:eastAsia="zh-CN"/>
              </w:rPr>
              <w:t>说明书销售服务费</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p>
        </w:tc>
        <w:tc>
          <w:tcPr>
            <w:tcW w:w="3027"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vertAlign w:val="baseline"/>
                <w:lang w:val="en-US" w:eastAsia="zh-CN"/>
              </w:rPr>
              <w:t>说明书销售服务费</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2"/>
                <w:sz w:val="32"/>
                <w:szCs w:val="32"/>
                <w:lang w:val="en-US" w:eastAsia="zh-CN" w:bidi="ar-SA"/>
              </w:rPr>
            </w:pPr>
            <w:r>
              <w:rPr>
                <w:rFonts w:hint="eastAsia" w:ascii="楷体" w:hAnsi="楷体" w:eastAsia="楷体" w:cs="楷体"/>
                <w:i w:val="0"/>
                <w:color w:val="000000"/>
                <w:kern w:val="0"/>
                <w:sz w:val="24"/>
                <w:szCs w:val="24"/>
                <w:u w:val="none"/>
                <w:lang w:val="en-US" w:eastAsia="zh-CN" w:bidi="ar"/>
              </w:rPr>
              <w:t>苏银理财恒源季开放5号W</w:t>
            </w:r>
          </w:p>
        </w:tc>
        <w:tc>
          <w:tcPr>
            <w:tcW w:w="119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32"/>
                <w:szCs w:val="32"/>
                <w:u w:val="none"/>
                <w:lang w:val="en-US" w:eastAsia="zh-CN" w:bidi="ar"/>
              </w:rPr>
            </w:pPr>
            <w:r>
              <w:rPr>
                <w:rFonts w:hint="eastAsia" w:ascii="楷体" w:hAnsi="楷体" w:eastAsia="楷体" w:cs="楷体"/>
                <w:i w:val="0"/>
                <w:iCs w:val="0"/>
                <w:color w:val="000000"/>
                <w:kern w:val="0"/>
                <w:sz w:val="24"/>
                <w:szCs w:val="24"/>
                <w:u w:val="none"/>
                <w:lang w:val="en-US" w:eastAsia="zh-CN" w:bidi="ar"/>
              </w:rPr>
              <w:t>J02831</w:t>
            </w:r>
          </w:p>
        </w:tc>
        <w:tc>
          <w:tcPr>
            <w:tcW w:w="2732"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0.30%/年</w:t>
            </w:r>
          </w:p>
        </w:tc>
        <w:tc>
          <w:tcPr>
            <w:tcW w:w="3027"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0.40%/年</w:t>
            </w:r>
          </w:p>
        </w:tc>
      </w:tr>
    </w:tbl>
    <w:p>
      <w:pPr>
        <w:pStyle w:val="2"/>
        <w:numPr>
          <w:ilvl w:val="0"/>
          <w:numId w:val="1"/>
        </w:numPr>
        <w:ind w:firstLine="562" w:firstLineChars="200"/>
        <w:rPr>
          <w:rFonts w:hint="default"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业绩比较基准调整</w:t>
      </w:r>
    </w:p>
    <w:tbl>
      <w:tblPr>
        <w:tblStyle w:val="14"/>
        <w:tblW w:w="8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732"/>
        <w:gridCol w:w="3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732"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r>
              <w:rPr>
                <w:rFonts w:hint="eastAsia" w:ascii="楷体" w:hAnsi="楷体" w:eastAsia="楷体" w:cs="Times New Roman"/>
                <w:b/>
                <w:bCs/>
                <w:sz w:val="24"/>
                <w:szCs w:val="24"/>
                <w:vertAlign w:val="baseline"/>
                <w:lang w:val="en-US" w:eastAsia="zh-CN"/>
              </w:rPr>
              <w:t>业绩比较基准</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（年化）</w:t>
            </w:r>
          </w:p>
        </w:tc>
        <w:tc>
          <w:tcPr>
            <w:tcW w:w="3027"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调整后业绩比较基准</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2"/>
                <w:sz w:val="32"/>
                <w:szCs w:val="32"/>
                <w:lang w:val="en-US" w:eastAsia="zh-CN" w:bidi="ar-SA"/>
              </w:rPr>
            </w:pPr>
            <w:r>
              <w:rPr>
                <w:rFonts w:hint="eastAsia" w:ascii="楷体" w:hAnsi="楷体" w:eastAsia="楷体" w:cs="楷体"/>
                <w:i w:val="0"/>
                <w:color w:val="000000"/>
                <w:kern w:val="0"/>
                <w:sz w:val="24"/>
                <w:szCs w:val="24"/>
                <w:u w:val="none"/>
                <w:lang w:val="en-US" w:eastAsia="zh-CN" w:bidi="ar"/>
              </w:rPr>
              <w:t>苏银理财恒源季开放5号W</w:t>
            </w:r>
          </w:p>
        </w:tc>
        <w:tc>
          <w:tcPr>
            <w:tcW w:w="119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32"/>
                <w:szCs w:val="32"/>
                <w:u w:val="none"/>
                <w:lang w:val="en-US" w:eastAsia="zh-CN" w:bidi="ar"/>
              </w:rPr>
            </w:pPr>
            <w:r>
              <w:rPr>
                <w:rFonts w:hint="eastAsia" w:ascii="楷体" w:hAnsi="楷体" w:eastAsia="楷体" w:cs="楷体"/>
                <w:i w:val="0"/>
                <w:iCs w:val="0"/>
                <w:color w:val="000000"/>
                <w:kern w:val="0"/>
                <w:sz w:val="24"/>
                <w:szCs w:val="24"/>
                <w:u w:val="none"/>
                <w:lang w:val="en-US" w:eastAsia="zh-CN" w:bidi="ar"/>
              </w:rPr>
              <w:t>J02831</w:t>
            </w:r>
          </w:p>
        </w:tc>
        <w:tc>
          <w:tcPr>
            <w:tcW w:w="2732"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2.10%-2.90%</w:t>
            </w:r>
          </w:p>
        </w:tc>
        <w:tc>
          <w:tcPr>
            <w:tcW w:w="3027"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2.00%-2.80%</w:t>
            </w:r>
          </w:p>
        </w:tc>
      </w:tr>
    </w:tbl>
    <w:p>
      <w:pPr>
        <w:spacing w:line="520" w:lineRule="exact"/>
        <w:ind w:firstLine="565" w:firstLineChars="202"/>
        <w:rPr>
          <w:rFonts w:hint="eastAsia" w:ascii="楷体" w:hAnsi="楷体" w:eastAsia="楷体"/>
          <w:sz w:val="28"/>
          <w:szCs w:val="28"/>
          <w:lang w:val="en-US" w:eastAsia="zh-CN"/>
        </w:rPr>
      </w:pPr>
      <w:r>
        <w:rPr>
          <w:rFonts w:hint="eastAsia" w:ascii="楷体" w:hAnsi="楷体" w:eastAsia="楷体" w:cs="Times New Roman"/>
          <w:sz w:val="28"/>
          <w:szCs w:val="28"/>
          <w:lang w:val="en-US" w:eastAsia="zh-CN"/>
        </w:rPr>
        <w:t>业绩比较基准为管理人对本产品所设定的投资目标，不代表理财产品未来表现，不等于理财产品实际收益，不构成管理人对产品实际投资收益率的承诺或担保，投资者的实际收益由产品净值表现决定。</w:t>
      </w:r>
      <w:bookmarkStart w:id="0" w:name="_GoBack"/>
      <w:bookmarkEnd w:id="0"/>
    </w:p>
    <w:p>
      <w:pPr>
        <w:spacing w:line="520" w:lineRule="exact"/>
        <w:ind w:firstLine="565" w:firstLineChars="202"/>
        <w:rPr>
          <w:rFonts w:hint="default" w:ascii="楷体" w:hAnsi="楷体" w:eastAsia="楷体" w:cs="Times New Roman"/>
          <w:sz w:val="28"/>
          <w:szCs w:val="28"/>
          <w:lang w:val="en-US" w:eastAsia="zh-CN"/>
        </w:rPr>
      </w:pPr>
      <w:r>
        <w:rPr>
          <w:rFonts w:hint="eastAsia" w:ascii="楷体" w:hAnsi="楷体" w:eastAsia="楷体"/>
          <w:sz w:val="28"/>
          <w:szCs w:val="28"/>
          <w:lang w:val="en-US" w:eastAsia="zh-CN"/>
        </w:rPr>
        <w:t>投资者如不接受本次公告所述调整，可于</w:t>
      </w:r>
      <w:r>
        <w:rPr>
          <w:rFonts w:hint="eastAsia" w:ascii="楷体" w:hAnsi="楷体" w:eastAsia="楷体"/>
          <w:sz w:val="28"/>
          <w:szCs w:val="28"/>
        </w:rPr>
        <w:t>202</w:t>
      </w:r>
      <w:r>
        <w:rPr>
          <w:rFonts w:hint="eastAsia" w:ascii="楷体" w:hAnsi="楷体" w:eastAsia="楷体"/>
          <w:sz w:val="28"/>
          <w:szCs w:val="28"/>
          <w:lang w:val="en-US" w:eastAsia="zh-CN"/>
        </w:rPr>
        <w:t>5</w:t>
      </w:r>
      <w:r>
        <w:rPr>
          <w:rFonts w:hint="eastAsia" w:ascii="楷体" w:hAnsi="楷体" w:eastAsia="楷体"/>
          <w:sz w:val="28"/>
          <w:szCs w:val="28"/>
        </w:rPr>
        <w:t>年</w:t>
      </w:r>
      <w:r>
        <w:rPr>
          <w:rFonts w:hint="eastAsia" w:ascii="楷体" w:hAnsi="楷体" w:eastAsia="楷体"/>
          <w:sz w:val="28"/>
          <w:szCs w:val="28"/>
          <w:lang w:val="en-US" w:eastAsia="zh-CN"/>
        </w:rPr>
        <w:t>9</w:t>
      </w:r>
      <w:r>
        <w:rPr>
          <w:rFonts w:hint="eastAsia" w:ascii="楷体" w:hAnsi="楷体" w:eastAsia="楷体"/>
          <w:sz w:val="28"/>
          <w:szCs w:val="28"/>
        </w:rPr>
        <w:t>月</w:t>
      </w:r>
      <w:r>
        <w:rPr>
          <w:rFonts w:hint="eastAsia" w:ascii="楷体" w:hAnsi="楷体" w:eastAsia="楷体"/>
          <w:sz w:val="28"/>
          <w:szCs w:val="28"/>
          <w:lang w:val="en-US" w:eastAsia="zh-CN"/>
        </w:rPr>
        <w:t>24日至</w:t>
      </w:r>
      <w:r>
        <w:rPr>
          <w:rFonts w:hint="eastAsia" w:ascii="楷体" w:hAnsi="楷体" w:eastAsia="楷体"/>
          <w:sz w:val="28"/>
          <w:szCs w:val="28"/>
        </w:rPr>
        <w:t>202</w:t>
      </w:r>
      <w:r>
        <w:rPr>
          <w:rFonts w:hint="eastAsia" w:ascii="楷体" w:hAnsi="楷体" w:eastAsia="楷体"/>
          <w:sz w:val="28"/>
          <w:szCs w:val="28"/>
          <w:lang w:val="en-US" w:eastAsia="zh-CN"/>
        </w:rPr>
        <w:t>5</w:t>
      </w:r>
      <w:r>
        <w:rPr>
          <w:rFonts w:hint="eastAsia" w:ascii="楷体" w:hAnsi="楷体" w:eastAsia="楷体"/>
          <w:sz w:val="28"/>
          <w:szCs w:val="28"/>
        </w:rPr>
        <w:t>年</w:t>
      </w:r>
      <w:r>
        <w:rPr>
          <w:rFonts w:hint="eastAsia" w:ascii="楷体" w:hAnsi="楷体" w:eastAsia="楷体"/>
          <w:sz w:val="28"/>
          <w:szCs w:val="28"/>
          <w:lang w:val="en-US" w:eastAsia="zh-CN"/>
        </w:rPr>
        <w:t>10</w:t>
      </w:r>
      <w:r>
        <w:rPr>
          <w:rFonts w:hint="eastAsia" w:ascii="楷体" w:hAnsi="楷体" w:eastAsia="楷体"/>
          <w:sz w:val="28"/>
          <w:szCs w:val="28"/>
        </w:rPr>
        <w:t>月</w:t>
      </w:r>
      <w:r>
        <w:rPr>
          <w:rFonts w:hint="eastAsia" w:ascii="楷体" w:hAnsi="楷体" w:eastAsia="楷体"/>
          <w:sz w:val="28"/>
          <w:szCs w:val="28"/>
          <w:lang w:val="en-US" w:eastAsia="zh-CN"/>
        </w:rPr>
        <w:t>9日产品开放期内提出赎回申请；若投资者逾期未提出赎回申请，则视为接受上述调整事项。</w:t>
      </w:r>
    </w:p>
    <w:p>
      <w:pPr>
        <w:spacing w:line="520" w:lineRule="exact"/>
        <w:ind w:firstLine="565" w:firstLineChars="202"/>
        <w:rPr>
          <w:rFonts w:hint="eastAsia" w:ascii="楷体" w:hAnsi="楷体" w:eastAsia="楷体"/>
          <w:sz w:val="28"/>
          <w:szCs w:val="28"/>
          <w:lang w:val="en-US" w:eastAsia="zh-CN"/>
        </w:rPr>
      </w:pPr>
      <w:r>
        <w:rPr>
          <w:rFonts w:hint="eastAsia" w:ascii="楷体" w:hAnsi="楷体" w:eastAsia="楷体"/>
          <w:sz w:val="28"/>
          <w:szCs w:val="28"/>
          <w:lang w:val="en-US" w:eastAsia="zh-CN"/>
        </w:rPr>
        <w:t>投资者可通过原理财产品合同约定的信息披露渠道查询更新后的理财产品合同。</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9</w:t>
      </w:r>
      <w:r>
        <w:rPr>
          <w:rFonts w:hint="eastAsia" w:ascii="楷体" w:hAnsi="楷体" w:eastAsia="楷体"/>
          <w:kern w:val="0"/>
          <w:sz w:val="28"/>
          <w:szCs w:val="28"/>
        </w:rPr>
        <w:t>月</w:t>
      </w:r>
      <w:r>
        <w:rPr>
          <w:rFonts w:hint="eastAsia" w:ascii="楷体" w:hAnsi="楷体" w:eastAsia="楷体"/>
          <w:kern w:val="0"/>
          <w:sz w:val="28"/>
          <w:szCs w:val="28"/>
          <w:lang w:val="en-US" w:eastAsia="zh-CN"/>
        </w:rPr>
        <w:t>16</w:t>
      </w:r>
      <w:r>
        <w:rPr>
          <w:rFonts w:hint="eastAsia" w:ascii="楷体" w:hAnsi="楷体" w:eastAsia="楷体"/>
          <w:kern w:val="0"/>
          <w:sz w:val="28"/>
          <w:szCs w:val="28"/>
        </w:rPr>
        <w:t>日</w:t>
      </w:r>
    </w:p>
    <w:p>
      <w:pPr>
        <w:spacing w:line="520" w:lineRule="exact"/>
        <w:rPr>
          <w:rFonts w:hint="eastAsia"/>
        </w:rPr>
      </w:pPr>
    </w:p>
    <w:p>
      <w:pPr>
        <w:spacing w:line="520" w:lineRule="exact"/>
        <w:rPr>
          <w:rFonts w:hint="eastAsia"/>
        </w:rPr>
      </w:pPr>
    </w:p>
    <w:p>
      <w:pPr>
        <w:spacing w:line="520" w:lineRule="exact"/>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p>
      <w:pPr>
        <w:spacing w:line="520" w:lineRule="exact"/>
      </w:pP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1EADA4"/>
    <w:multiLevelType w:val="singleLevel"/>
    <w:tmpl w:val="001EADA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3BA8"/>
    <w:rsid w:val="000247F9"/>
    <w:rsid w:val="00024C7F"/>
    <w:rsid w:val="000263ED"/>
    <w:rsid w:val="00027E61"/>
    <w:rsid w:val="00027F48"/>
    <w:rsid w:val="0003072E"/>
    <w:rsid w:val="00030D69"/>
    <w:rsid w:val="00031806"/>
    <w:rsid w:val="00031F80"/>
    <w:rsid w:val="00034890"/>
    <w:rsid w:val="000375C2"/>
    <w:rsid w:val="000405B1"/>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0563"/>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B0078"/>
    <w:rsid w:val="000B0690"/>
    <w:rsid w:val="000B0E85"/>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2E7D"/>
    <w:rsid w:val="000E34F3"/>
    <w:rsid w:val="000E4205"/>
    <w:rsid w:val="000E7579"/>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7395"/>
    <w:rsid w:val="00140B25"/>
    <w:rsid w:val="001450DF"/>
    <w:rsid w:val="0014734D"/>
    <w:rsid w:val="00151CC7"/>
    <w:rsid w:val="00152B36"/>
    <w:rsid w:val="00153081"/>
    <w:rsid w:val="001530B2"/>
    <w:rsid w:val="001543E7"/>
    <w:rsid w:val="00155B77"/>
    <w:rsid w:val="00160569"/>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4E69"/>
    <w:rsid w:val="00195FF0"/>
    <w:rsid w:val="00197DD9"/>
    <w:rsid w:val="001A05F5"/>
    <w:rsid w:val="001A1C12"/>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78FF"/>
    <w:rsid w:val="001E0062"/>
    <w:rsid w:val="001E0387"/>
    <w:rsid w:val="001E223F"/>
    <w:rsid w:val="001E4374"/>
    <w:rsid w:val="001E4A82"/>
    <w:rsid w:val="001E4C0D"/>
    <w:rsid w:val="001E4E95"/>
    <w:rsid w:val="001E623C"/>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636"/>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7DF5"/>
    <w:rsid w:val="002A7E94"/>
    <w:rsid w:val="002B0795"/>
    <w:rsid w:val="002B2620"/>
    <w:rsid w:val="002B3225"/>
    <w:rsid w:val="002B5694"/>
    <w:rsid w:val="002B6C82"/>
    <w:rsid w:val="002C021F"/>
    <w:rsid w:val="002C2056"/>
    <w:rsid w:val="002C222A"/>
    <w:rsid w:val="002C23F7"/>
    <w:rsid w:val="002C3367"/>
    <w:rsid w:val="002C7117"/>
    <w:rsid w:val="002C7CB4"/>
    <w:rsid w:val="002D0706"/>
    <w:rsid w:val="002D29FD"/>
    <w:rsid w:val="002D2AEC"/>
    <w:rsid w:val="002D2C1F"/>
    <w:rsid w:val="002D4FE3"/>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4ED6"/>
    <w:rsid w:val="003656BF"/>
    <w:rsid w:val="00366074"/>
    <w:rsid w:val="00367122"/>
    <w:rsid w:val="0037083D"/>
    <w:rsid w:val="00372402"/>
    <w:rsid w:val="003724FE"/>
    <w:rsid w:val="003726C4"/>
    <w:rsid w:val="003732C5"/>
    <w:rsid w:val="00374086"/>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48E3"/>
    <w:rsid w:val="003A539D"/>
    <w:rsid w:val="003A5FA1"/>
    <w:rsid w:val="003A7623"/>
    <w:rsid w:val="003B1725"/>
    <w:rsid w:val="003B242C"/>
    <w:rsid w:val="003B324C"/>
    <w:rsid w:val="003B4D64"/>
    <w:rsid w:val="003B5DFB"/>
    <w:rsid w:val="003B6220"/>
    <w:rsid w:val="003B76DC"/>
    <w:rsid w:val="003C1E93"/>
    <w:rsid w:val="003C2161"/>
    <w:rsid w:val="003C596C"/>
    <w:rsid w:val="003C6765"/>
    <w:rsid w:val="003D03AF"/>
    <w:rsid w:val="003D07CA"/>
    <w:rsid w:val="003D1FE5"/>
    <w:rsid w:val="003D3735"/>
    <w:rsid w:val="003D5148"/>
    <w:rsid w:val="003D5CDF"/>
    <w:rsid w:val="003D6081"/>
    <w:rsid w:val="003D6720"/>
    <w:rsid w:val="003D6B3F"/>
    <w:rsid w:val="003D7951"/>
    <w:rsid w:val="003E030F"/>
    <w:rsid w:val="003E1EFB"/>
    <w:rsid w:val="003E2B26"/>
    <w:rsid w:val="003E4299"/>
    <w:rsid w:val="003E6D92"/>
    <w:rsid w:val="003E70B9"/>
    <w:rsid w:val="003E7812"/>
    <w:rsid w:val="003F2136"/>
    <w:rsid w:val="003F277A"/>
    <w:rsid w:val="003F29B2"/>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2D31"/>
    <w:rsid w:val="00426041"/>
    <w:rsid w:val="00426CBC"/>
    <w:rsid w:val="00427CC0"/>
    <w:rsid w:val="0043002F"/>
    <w:rsid w:val="004303B3"/>
    <w:rsid w:val="00430927"/>
    <w:rsid w:val="0043308A"/>
    <w:rsid w:val="00433113"/>
    <w:rsid w:val="00433DCD"/>
    <w:rsid w:val="00434262"/>
    <w:rsid w:val="0043673C"/>
    <w:rsid w:val="00436801"/>
    <w:rsid w:val="00437DA0"/>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3AC9"/>
    <w:rsid w:val="004F3E60"/>
    <w:rsid w:val="004F40EF"/>
    <w:rsid w:val="004F46F0"/>
    <w:rsid w:val="004F4F78"/>
    <w:rsid w:val="004F55EC"/>
    <w:rsid w:val="005013A2"/>
    <w:rsid w:val="005017DC"/>
    <w:rsid w:val="0050386F"/>
    <w:rsid w:val="005041D5"/>
    <w:rsid w:val="005071D2"/>
    <w:rsid w:val="00510526"/>
    <w:rsid w:val="00510823"/>
    <w:rsid w:val="0051208D"/>
    <w:rsid w:val="00515789"/>
    <w:rsid w:val="00516DA1"/>
    <w:rsid w:val="005201F1"/>
    <w:rsid w:val="00520ACC"/>
    <w:rsid w:val="00520B0B"/>
    <w:rsid w:val="005212D4"/>
    <w:rsid w:val="00522AA1"/>
    <w:rsid w:val="0052415B"/>
    <w:rsid w:val="005266CB"/>
    <w:rsid w:val="00527FBD"/>
    <w:rsid w:val="0053069A"/>
    <w:rsid w:val="005308B0"/>
    <w:rsid w:val="00533B31"/>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3D7"/>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647B"/>
    <w:rsid w:val="00627B69"/>
    <w:rsid w:val="00631CC2"/>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38D"/>
    <w:rsid w:val="00671A6A"/>
    <w:rsid w:val="00673F0C"/>
    <w:rsid w:val="00676A38"/>
    <w:rsid w:val="00680098"/>
    <w:rsid w:val="00680957"/>
    <w:rsid w:val="00682CFC"/>
    <w:rsid w:val="00683B13"/>
    <w:rsid w:val="00686216"/>
    <w:rsid w:val="00686325"/>
    <w:rsid w:val="00686EC4"/>
    <w:rsid w:val="00687063"/>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5097"/>
    <w:rsid w:val="006B5516"/>
    <w:rsid w:val="006B5D36"/>
    <w:rsid w:val="006B5E7D"/>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6F79D7"/>
    <w:rsid w:val="00700A73"/>
    <w:rsid w:val="007015E9"/>
    <w:rsid w:val="00702A10"/>
    <w:rsid w:val="0070484E"/>
    <w:rsid w:val="00704ED8"/>
    <w:rsid w:val="0070601C"/>
    <w:rsid w:val="00706787"/>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0D68"/>
    <w:rsid w:val="0080100B"/>
    <w:rsid w:val="00801BBC"/>
    <w:rsid w:val="00802684"/>
    <w:rsid w:val="00804380"/>
    <w:rsid w:val="00804490"/>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A8D"/>
    <w:rsid w:val="008362EF"/>
    <w:rsid w:val="008367C0"/>
    <w:rsid w:val="00840F68"/>
    <w:rsid w:val="00843EBB"/>
    <w:rsid w:val="008443EB"/>
    <w:rsid w:val="00844E1C"/>
    <w:rsid w:val="00847A9C"/>
    <w:rsid w:val="00855674"/>
    <w:rsid w:val="0086291A"/>
    <w:rsid w:val="00862D4F"/>
    <w:rsid w:val="00871456"/>
    <w:rsid w:val="00871856"/>
    <w:rsid w:val="00872ABA"/>
    <w:rsid w:val="00872FCE"/>
    <w:rsid w:val="00874EBD"/>
    <w:rsid w:val="008761FC"/>
    <w:rsid w:val="00877D2F"/>
    <w:rsid w:val="008800C1"/>
    <w:rsid w:val="00881137"/>
    <w:rsid w:val="00882933"/>
    <w:rsid w:val="00883A75"/>
    <w:rsid w:val="00883F98"/>
    <w:rsid w:val="00884396"/>
    <w:rsid w:val="008843FC"/>
    <w:rsid w:val="008862BD"/>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A85"/>
    <w:rsid w:val="00913E2A"/>
    <w:rsid w:val="0091468D"/>
    <w:rsid w:val="0091475E"/>
    <w:rsid w:val="009163B6"/>
    <w:rsid w:val="00916B61"/>
    <w:rsid w:val="00917ED2"/>
    <w:rsid w:val="00917F42"/>
    <w:rsid w:val="009205E3"/>
    <w:rsid w:val="009217A9"/>
    <w:rsid w:val="00922F29"/>
    <w:rsid w:val="009231E6"/>
    <w:rsid w:val="00924926"/>
    <w:rsid w:val="00924ED9"/>
    <w:rsid w:val="009277E9"/>
    <w:rsid w:val="0093042C"/>
    <w:rsid w:val="00931316"/>
    <w:rsid w:val="00933086"/>
    <w:rsid w:val="00934A0F"/>
    <w:rsid w:val="00935CA2"/>
    <w:rsid w:val="00937ED6"/>
    <w:rsid w:val="009406E7"/>
    <w:rsid w:val="00940B04"/>
    <w:rsid w:val="00944AB3"/>
    <w:rsid w:val="009465F6"/>
    <w:rsid w:val="009469A2"/>
    <w:rsid w:val="00950141"/>
    <w:rsid w:val="00950FC7"/>
    <w:rsid w:val="00951D07"/>
    <w:rsid w:val="00953FB3"/>
    <w:rsid w:val="0095455D"/>
    <w:rsid w:val="0095482D"/>
    <w:rsid w:val="009563AA"/>
    <w:rsid w:val="009623A4"/>
    <w:rsid w:val="00963229"/>
    <w:rsid w:val="0096515A"/>
    <w:rsid w:val="00965C79"/>
    <w:rsid w:val="00966601"/>
    <w:rsid w:val="00967094"/>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1A69"/>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0DCA"/>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2F73"/>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B7AD4"/>
    <w:rsid w:val="00AC12F5"/>
    <w:rsid w:val="00AC1749"/>
    <w:rsid w:val="00AC2A9D"/>
    <w:rsid w:val="00AC56CE"/>
    <w:rsid w:val="00AC59CF"/>
    <w:rsid w:val="00AC604F"/>
    <w:rsid w:val="00AC71B2"/>
    <w:rsid w:val="00AD2F15"/>
    <w:rsid w:val="00AD34FD"/>
    <w:rsid w:val="00AD4224"/>
    <w:rsid w:val="00AD4E75"/>
    <w:rsid w:val="00AD6DC7"/>
    <w:rsid w:val="00AD74C8"/>
    <w:rsid w:val="00AD757C"/>
    <w:rsid w:val="00AE3181"/>
    <w:rsid w:val="00AE357C"/>
    <w:rsid w:val="00AE6795"/>
    <w:rsid w:val="00AE6ED6"/>
    <w:rsid w:val="00AE7EDF"/>
    <w:rsid w:val="00AF07F9"/>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48F"/>
    <w:rsid w:val="00B35AFE"/>
    <w:rsid w:val="00B40329"/>
    <w:rsid w:val="00B40B8D"/>
    <w:rsid w:val="00B4103B"/>
    <w:rsid w:val="00B432A2"/>
    <w:rsid w:val="00B45440"/>
    <w:rsid w:val="00B53BE1"/>
    <w:rsid w:val="00B5466A"/>
    <w:rsid w:val="00B546E5"/>
    <w:rsid w:val="00B54E07"/>
    <w:rsid w:val="00B565C8"/>
    <w:rsid w:val="00B56E68"/>
    <w:rsid w:val="00B575ED"/>
    <w:rsid w:val="00B57F78"/>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CF7"/>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3E9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1BA5"/>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524"/>
    <w:rsid w:val="00CA3E46"/>
    <w:rsid w:val="00CA5475"/>
    <w:rsid w:val="00CA6FE3"/>
    <w:rsid w:val="00CB0E61"/>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4D03"/>
    <w:rsid w:val="00D174F0"/>
    <w:rsid w:val="00D17707"/>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121B"/>
    <w:rsid w:val="00DB6664"/>
    <w:rsid w:val="00DB73FB"/>
    <w:rsid w:val="00DB7CD4"/>
    <w:rsid w:val="00DC0DBE"/>
    <w:rsid w:val="00DC429D"/>
    <w:rsid w:val="00DC6E17"/>
    <w:rsid w:val="00DC6F8F"/>
    <w:rsid w:val="00DD26B7"/>
    <w:rsid w:val="00DD35D4"/>
    <w:rsid w:val="00DD4DCA"/>
    <w:rsid w:val="00DD5181"/>
    <w:rsid w:val="00DD5CCB"/>
    <w:rsid w:val="00DD600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9E8"/>
    <w:rsid w:val="00E46BFA"/>
    <w:rsid w:val="00E47194"/>
    <w:rsid w:val="00E477BE"/>
    <w:rsid w:val="00E47B62"/>
    <w:rsid w:val="00E51517"/>
    <w:rsid w:val="00E51F74"/>
    <w:rsid w:val="00E5403A"/>
    <w:rsid w:val="00E54533"/>
    <w:rsid w:val="00E55868"/>
    <w:rsid w:val="00E60C14"/>
    <w:rsid w:val="00E61815"/>
    <w:rsid w:val="00E63C50"/>
    <w:rsid w:val="00E653EB"/>
    <w:rsid w:val="00E65D86"/>
    <w:rsid w:val="00E66967"/>
    <w:rsid w:val="00E67E1C"/>
    <w:rsid w:val="00E70E2A"/>
    <w:rsid w:val="00E72C1A"/>
    <w:rsid w:val="00E745C5"/>
    <w:rsid w:val="00E74BBE"/>
    <w:rsid w:val="00E75451"/>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7DBE"/>
    <w:rsid w:val="00F421EA"/>
    <w:rsid w:val="00F430AC"/>
    <w:rsid w:val="00F462D5"/>
    <w:rsid w:val="00F46975"/>
    <w:rsid w:val="00F477B9"/>
    <w:rsid w:val="00F51502"/>
    <w:rsid w:val="00F53604"/>
    <w:rsid w:val="00F54A39"/>
    <w:rsid w:val="00F54B2D"/>
    <w:rsid w:val="00F54BBB"/>
    <w:rsid w:val="00F55625"/>
    <w:rsid w:val="00F55FAE"/>
    <w:rsid w:val="00F60171"/>
    <w:rsid w:val="00F6086F"/>
    <w:rsid w:val="00F613FA"/>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EA0"/>
    <w:rsid w:val="00FB2144"/>
    <w:rsid w:val="00FB2DA4"/>
    <w:rsid w:val="00FB45C2"/>
    <w:rsid w:val="00FB5FCF"/>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45565FB"/>
    <w:rsid w:val="05C24554"/>
    <w:rsid w:val="07731EDA"/>
    <w:rsid w:val="0784404A"/>
    <w:rsid w:val="099D0555"/>
    <w:rsid w:val="0AA66B07"/>
    <w:rsid w:val="0BA66D62"/>
    <w:rsid w:val="0C2938FA"/>
    <w:rsid w:val="0C2E7DE5"/>
    <w:rsid w:val="0DAF4280"/>
    <w:rsid w:val="0EF5090E"/>
    <w:rsid w:val="103A4EAF"/>
    <w:rsid w:val="10707444"/>
    <w:rsid w:val="10E55ACF"/>
    <w:rsid w:val="138D6E1B"/>
    <w:rsid w:val="14030913"/>
    <w:rsid w:val="154C69AD"/>
    <w:rsid w:val="15CF287D"/>
    <w:rsid w:val="15D4371D"/>
    <w:rsid w:val="16116348"/>
    <w:rsid w:val="163816F1"/>
    <w:rsid w:val="18106956"/>
    <w:rsid w:val="18F736C2"/>
    <w:rsid w:val="192B0D84"/>
    <w:rsid w:val="19387D0F"/>
    <w:rsid w:val="1A4E3859"/>
    <w:rsid w:val="1AC763E3"/>
    <w:rsid w:val="1B664B02"/>
    <w:rsid w:val="1CD77CF3"/>
    <w:rsid w:val="1CE34318"/>
    <w:rsid w:val="1E370F59"/>
    <w:rsid w:val="1E996BC3"/>
    <w:rsid w:val="1FE92EB2"/>
    <w:rsid w:val="224E07D6"/>
    <w:rsid w:val="22E01A46"/>
    <w:rsid w:val="252F3580"/>
    <w:rsid w:val="28183520"/>
    <w:rsid w:val="286E0463"/>
    <w:rsid w:val="290918A1"/>
    <w:rsid w:val="2A3744FF"/>
    <w:rsid w:val="2BC035CC"/>
    <w:rsid w:val="2EB879E5"/>
    <w:rsid w:val="2EC13897"/>
    <w:rsid w:val="2FD10999"/>
    <w:rsid w:val="31996E41"/>
    <w:rsid w:val="34622BDD"/>
    <w:rsid w:val="34CF2843"/>
    <w:rsid w:val="34D26D17"/>
    <w:rsid w:val="35C75C95"/>
    <w:rsid w:val="39AE79B4"/>
    <w:rsid w:val="3ABF7DB8"/>
    <w:rsid w:val="3AFF4350"/>
    <w:rsid w:val="3E5206FE"/>
    <w:rsid w:val="45EB52C6"/>
    <w:rsid w:val="46185D1F"/>
    <w:rsid w:val="46C0117A"/>
    <w:rsid w:val="482B6C56"/>
    <w:rsid w:val="49AE47A5"/>
    <w:rsid w:val="4ACF7A75"/>
    <w:rsid w:val="4B43165C"/>
    <w:rsid w:val="4C5521FF"/>
    <w:rsid w:val="4DE250C0"/>
    <w:rsid w:val="4F40507F"/>
    <w:rsid w:val="4F9C5574"/>
    <w:rsid w:val="4FF91545"/>
    <w:rsid w:val="52020F9B"/>
    <w:rsid w:val="527D382B"/>
    <w:rsid w:val="53E1377B"/>
    <w:rsid w:val="550E6F94"/>
    <w:rsid w:val="55170CA3"/>
    <w:rsid w:val="554B526C"/>
    <w:rsid w:val="58693E4E"/>
    <w:rsid w:val="58A27E95"/>
    <w:rsid w:val="5AED3DD9"/>
    <w:rsid w:val="5BAF5CDC"/>
    <w:rsid w:val="5D0143FE"/>
    <w:rsid w:val="600E1625"/>
    <w:rsid w:val="621D43C7"/>
    <w:rsid w:val="629B7BA9"/>
    <w:rsid w:val="639B4440"/>
    <w:rsid w:val="63CD2A95"/>
    <w:rsid w:val="65015975"/>
    <w:rsid w:val="65F20436"/>
    <w:rsid w:val="664C6B61"/>
    <w:rsid w:val="66B44B18"/>
    <w:rsid w:val="69C04ABB"/>
    <w:rsid w:val="6AC25DB6"/>
    <w:rsid w:val="6ACE4D37"/>
    <w:rsid w:val="6D533A1E"/>
    <w:rsid w:val="6E584699"/>
    <w:rsid w:val="7396760B"/>
    <w:rsid w:val="73B82F5E"/>
    <w:rsid w:val="74966354"/>
    <w:rsid w:val="76004113"/>
    <w:rsid w:val="76442DB5"/>
    <w:rsid w:val="76816DDF"/>
    <w:rsid w:val="77667C2A"/>
    <w:rsid w:val="79B133AA"/>
    <w:rsid w:val="7B0A6242"/>
    <w:rsid w:val="7B4D1255"/>
    <w:rsid w:val="7C741973"/>
    <w:rsid w:val="7EA118FD"/>
    <w:rsid w:val="7F685EF5"/>
    <w:rsid w:val="7FBA204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30"/>
    <w:semiHidden/>
    <w:qFormat/>
    <w:uiPriority w:val="99"/>
    <w:rPr>
      <w:rFonts w:ascii="Times New Roman" w:hAnsi="Times New Roman"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725</Words>
  <Characters>805</Characters>
  <Lines>2</Lines>
  <Paragraphs>1</Paragraphs>
  <TotalTime>0</TotalTime>
  <ScaleCrop>false</ScaleCrop>
  <LinksUpToDate>false</LinksUpToDate>
  <CharactersWithSpaces>811</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2021-11-25T11:20:00Z</dcterms:created>
  <dc:creator>JSYH</dc:creator>
  <cp:lastModifiedBy>lhy</cp:lastModifiedBy>
  <cp:lastPrinted>2022-06-20T06:27:00Z</cp:lastPrinted>
  <dcterms:modified xsi:type="dcterms:W3CDTF">2025-09-16T07:17:00Z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1E2CD8FD1EA3472D9D392685C8DD2882</vt:lpwstr>
  </property>
</Properties>
</file>